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4"/>
        <w:gridCol w:w="4521"/>
      </w:tblGrid>
      <w:tr w:rsidR="00250FC2" w:rsidRPr="00840B37" w:rsidTr="006F0726">
        <w:trPr>
          <w:tblCellSpacing w:w="7" w:type="dxa"/>
        </w:trPr>
        <w:tc>
          <w:tcPr>
            <w:tcW w:w="0" w:type="auto"/>
            <w:vAlign w:val="center"/>
            <w:hideMark/>
          </w:tcPr>
          <w:p w:rsidR="00250FC2" w:rsidRPr="00250FC2" w:rsidRDefault="00250FC2" w:rsidP="008C1A50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4500" w:type="dxa"/>
            <w:vAlign w:val="bottom"/>
          </w:tcPr>
          <w:p w:rsidR="003E7F6D" w:rsidRPr="00EA1D98" w:rsidRDefault="003E7F6D" w:rsidP="003542E1">
            <w:pPr>
              <w:spacing w:after="0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  <w:u w:val="single"/>
              </w:rPr>
            </w:pPr>
            <w:r w:rsidRPr="003E7F6D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        </w:t>
            </w:r>
            <w:r w:rsidR="00840B37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                                            </w:t>
            </w:r>
            <w:proofErr w:type="spellStart"/>
            <w:r w:rsidRPr="003E7F6D">
              <w:rPr>
                <w:rFonts w:ascii="GHEA Grapalat" w:eastAsia="Times New Roman" w:hAnsi="GHEA Grapalat" w:cs="Times New Roman"/>
                <w:bCs/>
                <w:sz w:val="20"/>
                <w:szCs w:val="20"/>
                <w:u w:val="single"/>
                <w:lang w:val="ru-RU"/>
              </w:rPr>
              <w:t>Հավելված</w:t>
            </w:r>
            <w:proofErr w:type="spellEnd"/>
          </w:p>
          <w:p w:rsidR="003E7F6D" w:rsidRPr="00EA1D98" w:rsidRDefault="003E7F6D" w:rsidP="003542E1">
            <w:pPr>
              <w:spacing w:after="0"/>
              <w:jc w:val="right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Հայաստանի</w:t>
            </w:r>
            <w:proofErr w:type="spellEnd"/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Հանրապետության</w:t>
            </w:r>
            <w:proofErr w:type="spellEnd"/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Շիրակի</w:t>
            </w:r>
            <w:proofErr w:type="spellEnd"/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մարզի</w:t>
            </w:r>
            <w:proofErr w:type="spellEnd"/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Ախուրյան</w:t>
            </w:r>
            <w:proofErr w:type="spellEnd"/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համայնքի</w:t>
            </w:r>
            <w:proofErr w:type="spellEnd"/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ավագանու</w:t>
            </w:r>
            <w:proofErr w:type="spellEnd"/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թվականի</w:t>
            </w:r>
            <w:proofErr w:type="spellEnd"/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14CFD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>հուն</w:t>
            </w:r>
            <w:r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իսի</w:t>
            </w:r>
            <w:proofErr w:type="spellEnd"/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--</w:t>
            </w:r>
            <w:r w:rsidR="003542E1"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r w:rsidR="003542E1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ի</w:t>
            </w:r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542E1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թիվ</w:t>
            </w:r>
            <w:proofErr w:type="spellEnd"/>
            <w:r w:rsidR="003542E1"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-- </w:t>
            </w:r>
            <w:r w:rsidR="003542E1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Ն</w:t>
            </w:r>
            <w:r w:rsidR="003542E1"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3542E1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ru-RU"/>
              </w:rPr>
              <w:t>որոշման</w:t>
            </w:r>
            <w:proofErr w:type="spellEnd"/>
            <w:r w:rsidR="003542E1"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r w:rsidRPr="00EA1D98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</w:p>
          <w:p w:rsidR="003E7F6D" w:rsidRPr="00EA1D98" w:rsidRDefault="003E7F6D" w:rsidP="003E7F6D">
            <w:pPr>
              <w:spacing w:after="0" w:line="240" w:lineRule="auto"/>
              <w:jc w:val="right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</w:p>
        </w:tc>
      </w:tr>
    </w:tbl>
    <w:p w:rsidR="003E7F6D" w:rsidRPr="00EA1D98" w:rsidRDefault="003E7F6D" w:rsidP="005F783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</w:rPr>
      </w:pPr>
    </w:p>
    <w:p w:rsidR="00250FC2" w:rsidRPr="00EA1D98" w:rsidRDefault="00250FC2" w:rsidP="005F783A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</w:rPr>
      </w:pPr>
      <w:r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Կ</w:t>
      </w:r>
      <w:r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</w:t>
      </w:r>
      <w:r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Ր</w:t>
      </w:r>
      <w:r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Գ</w:t>
      </w:r>
    </w:p>
    <w:p w:rsidR="00250FC2" w:rsidRPr="00EA1D98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5F783A">
        <w:rPr>
          <w:rFonts w:ascii="Courier New" w:eastAsia="Times New Roman" w:hAnsi="Courier New" w:cs="Courier New"/>
          <w:color w:val="000000"/>
          <w:sz w:val="24"/>
          <w:szCs w:val="24"/>
        </w:rPr>
        <w:t> </w:t>
      </w:r>
    </w:p>
    <w:p w:rsidR="005F783A" w:rsidRPr="00EA1D98" w:rsidRDefault="00E26E5B" w:rsidP="003542E1">
      <w:pPr>
        <w:spacing w:after="0" w:line="360" w:lineRule="auto"/>
        <w:jc w:val="center"/>
        <w:rPr>
          <w:rFonts w:ascii="GHEA Grapalat" w:eastAsia="Times New Roman" w:hAnsi="GHEA Grapalat" w:cs="Times New Roman"/>
          <w:bCs/>
          <w:color w:val="000000"/>
          <w:sz w:val="24"/>
          <w:szCs w:val="24"/>
        </w:rPr>
      </w:pPr>
      <w:r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ԱԽՈՒՐՅԱՆ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ՀԱՄԱՅՆՔԻ </w:t>
      </w:r>
      <w:r w:rsidR="00250FC2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ԱՎԱԳԱՆՈՒ</w:t>
      </w:r>
      <w:r w:rsidR="00250FC2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ԿՈՂՄԻՑ</w:t>
      </w:r>
      <w:r w:rsidR="00250FC2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ԱՆՇԱՐԺ</w:t>
      </w:r>
      <w:r w:rsidR="00250FC2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ԳՈՒՅՔԻ</w:t>
      </w:r>
      <w:r w:rsidR="00250FC2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ՀԱՐԿԻ</w:t>
      </w:r>
      <w:r w:rsidR="00250FC2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ԵՎ</w:t>
      </w:r>
      <w:r w:rsidR="00250FC2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ՓՈԽԱԴՐԱՄԻՋՈՑԻ</w:t>
      </w:r>
      <w:r w:rsidR="00250FC2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ԳՈՒՅՔԱՀԱՐԿԻ</w:t>
      </w:r>
      <w:r w:rsidR="00250FC2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E841DE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ԳԾՈՎ </w:t>
      </w:r>
      <w:r w:rsidR="00250FC2" w:rsidRPr="005F783A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ԱՐՏՈՆՈՒԹՅՈՒՆՆԵՐ</w:t>
      </w:r>
      <w:r w:rsidR="00DD058F"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  <w:r w:rsidR="00DD058F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ՍԱՀՄԱՆ</w:t>
      </w:r>
      <w:r w:rsidR="00DD05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ru-RU"/>
        </w:rPr>
        <w:t>ԵԼՈՒ</w:t>
      </w:r>
    </w:p>
    <w:p w:rsidR="00250FC2" w:rsidRPr="00EA1D98" w:rsidRDefault="00250FC2" w:rsidP="00250FC2">
      <w:pPr>
        <w:spacing w:after="0" w:line="240" w:lineRule="auto"/>
        <w:jc w:val="center"/>
        <w:rPr>
          <w:rFonts w:ascii="GHEA Grapalat" w:eastAsia="Times New Roman" w:hAnsi="GHEA Grapalat" w:cs="Times New Roman"/>
          <w:bCs/>
          <w:color w:val="000000"/>
          <w:sz w:val="16"/>
          <w:szCs w:val="16"/>
        </w:rPr>
      </w:pPr>
      <w:r w:rsidRPr="00EA1D98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 xml:space="preserve"> </w:t>
      </w:r>
    </w:p>
    <w:p w:rsidR="00250FC2" w:rsidRPr="00EA1D98" w:rsidRDefault="00250FC2" w:rsidP="00250FC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</w:rPr>
      </w:pPr>
      <w:r w:rsidRPr="00250FC2">
        <w:rPr>
          <w:rFonts w:ascii="Courier New" w:eastAsia="Times New Roman" w:hAnsi="Courier New" w:cs="Courier New"/>
          <w:color w:val="000000"/>
          <w:sz w:val="21"/>
          <w:szCs w:val="21"/>
        </w:rPr>
        <w:t> </w:t>
      </w:r>
    </w:p>
    <w:p w:rsidR="00250FC2" w:rsidRPr="00EA1D98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1.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Սույն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կարգով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կարգավորվում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են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Հայաստանի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Հա</w:t>
      </w:r>
      <w:r w:rsidR="005F783A">
        <w:rPr>
          <w:rFonts w:ascii="GHEA Grapalat" w:eastAsia="Times New Roman" w:hAnsi="GHEA Grapalat" w:cs="Times New Roman"/>
          <w:color w:val="000000"/>
          <w:sz w:val="24"/>
          <w:szCs w:val="24"/>
        </w:rPr>
        <w:t>նրապետության</w:t>
      </w:r>
      <w:proofErr w:type="spellEnd"/>
      <w:r w:rsidR="005F783A"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հարկային</w:t>
      </w:r>
      <w:proofErr w:type="spellEnd"/>
      <w:r w:rsidR="005F783A"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5F783A">
        <w:rPr>
          <w:rFonts w:ascii="GHEA Grapalat" w:eastAsia="Times New Roman" w:hAnsi="GHEA Grapalat" w:cs="Times New Roman"/>
          <w:color w:val="000000"/>
          <w:sz w:val="24"/>
          <w:szCs w:val="24"/>
        </w:rPr>
        <w:t>օրենսգրքի</w:t>
      </w:r>
      <w:proofErr w:type="spellEnd"/>
      <w:r w:rsidR="005F783A"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>230-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րդ</w:t>
      </w: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3-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րդ</w:t>
      </w: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="005F783A"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>245-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րդ</w:t>
      </w: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հոդվածի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2-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րդ</w:t>
      </w: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մասին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՝</w:t>
      </w: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E26E5B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Ախուրյան</w:t>
      </w:r>
      <w:r w:rsid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ավագանու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կողմից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անշարժ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հարկի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և</w:t>
      </w: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փոխադրամիջոցի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գույքահարկի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63352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գծով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արտոնությունների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սահմանման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հետ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կապված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հարաբերությունները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</w:p>
    <w:p w:rsidR="00250FC2" w:rsidRPr="005F783A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2. </w:t>
      </w:r>
      <w:r w:rsidR="00E26E5B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Ախուրյան</w:t>
      </w:r>
      <w:r w:rsidR="00622287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ավագանին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անշարժ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հարկի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67B58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փոխադրամիջոցի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գույքահարկի</w:t>
      </w:r>
      <w:proofErr w:type="spellEnd"/>
      <w:r w:rsidR="009C1B3E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622287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գծով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արտոնություն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սահմանում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առանձին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հարկ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վճարողների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r w:rsidR="00EF3542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վարչակ</w:t>
      </w:r>
      <w:r w:rsidR="009C1B3E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ան</w:t>
      </w:r>
      <w:proofErr w:type="spellEnd"/>
      <w:r w:rsidR="009C1B3E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C1B3E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տարածքում</w:t>
      </w:r>
      <w:proofErr w:type="spellEnd"/>
      <w:r w:rsidR="009C1B3E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9C1B3E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գտնվող</w:t>
      </w:r>
      <w:proofErr w:type="spellEnd"/>
      <w:r w:rsidR="009C1B3E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(</w:t>
      </w:r>
      <w:proofErr w:type="spellStart"/>
      <w:r w:rsidR="009C1B3E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հաշվառված</w:t>
      </w:r>
      <w:proofErr w:type="spellEnd"/>
      <w:r w:rsidR="009C1B3E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)</w:t>
      </w:r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անշարժ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հարկով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C67B58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փոխադրամիջոցի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գույքահարկով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հարկման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օբյեկտ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հանդիսացող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մասով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արտոնության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վերապահման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հաստատումից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հետո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ընդ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որում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սահմանած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արտոնության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գումարը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չի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կարող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գերազանցել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տվյալ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հարկային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տարվա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համար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անշարժ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գույքի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հարկի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="00F05597"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կամ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փոխադրամիջոցի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գույքահարկի</w:t>
      </w:r>
      <w:proofErr w:type="spellEnd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056F28">
        <w:rPr>
          <w:rFonts w:ascii="GHEA Grapalat" w:eastAsia="Times New Roman" w:hAnsi="GHEA Grapalat" w:cs="Times New Roman"/>
          <w:color w:val="000000"/>
          <w:sz w:val="24"/>
          <w:szCs w:val="24"/>
        </w:rPr>
        <w:t>գծով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համայնքի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բյուջեի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հաստատված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եկամուտների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տասը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5F783A">
        <w:rPr>
          <w:rFonts w:ascii="GHEA Grapalat" w:eastAsia="Times New Roman" w:hAnsi="GHEA Grapalat" w:cs="Times New Roman"/>
          <w:color w:val="000000"/>
          <w:sz w:val="24"/>
          <w:szCs w:val="24"/>
        </w:rPr>
        <w:t>տոկոսը</w:t>
      </w:r>
      <w:proofErr w:type="spellEnd"/>
      <w:r w:rsidRPr="00EA1D98">
        <w:rPr>
          <w:rFonts w:ascii="GHEA Grapalat" w:eastAsia="Times New Roman" w:hAnsi="GHEA Grapalat" w:cs="Times New Roman"/>
          <w:color w:val="000000"/>
          <w:sz w:val="24"/>
          <w:szCs w:val="24"/>
        </w:rPr>
        <w:t>:</w:t>
      </w:r>
      <w:r w:rsidR="00622287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:rsidR="00250FC2" w:rsidRPr="005F783A" w:rsidRDefault="00321633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Անշարժ գույքի հարկի կամ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փոխադրամիջոցի գույքահարկի գծով արտոնություն կարող է սահմանվել հետևյ</w:t>
      </w:r>
      <w:r w:rsidR="008802FD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ալ քաղաքացիների խմբերի նկատմամբ՝</w:t>
      </w:r>
    </w:p>
    <w:p w:rsidR="00250FC2" w:rsidRPr="005F783A" w:rsidRDefault="008802FD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Արցախի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զոհված, վիրավորված և ստացած վնասվածքներից հաջորդող տարիների ընթացքում մահացածների ընտանիքների անդամներ,</w:t>
      </w:r>
    </w:p>
    <w:p w:rsidR="00250FC2" w:rsidRPr="008D67D7" w:rsidRDefault="00250FC2" w:rsidP="008D67D7">
      <w:pPr>
        <w:spacing w:after="0" w:line="360" w:lineRule="auto"/>
        <w:ind w:firstLine="375"/>
        <w:jc w:val="both"/>
        <w:rPr>
          <w:rFonts w:ascii="Sylfaen" w:eastAsia="Times New Roman" w:hAnsi="Sylfaen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2) </w:t>
      </w:r>
      <w:r w:rsidR="008802FD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Արցախյան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և Հայաստանի Հանրապետության</w:t>
      </w:r>
      <w:r w:rsidR="008802FD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տարածքում տեղի ունեցած</w:t>
      </w:r>
      <w:r w:rsidR="00883BCD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883BCD" w:rsidRPr="0088763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պատերազմների </w:t>
      </w:r>
      <w:r w:rsidR="00883BCD" w:rsidRPr="0088763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ֆունկցիոնալության խորը </w:t>
      </w:r>
      <w:r w:rsidR="008D67D7" w:rsidRPr="0088763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(1-ին խմբի) </w:t>
      </w:r>
      <w:r w:rsidR="00883BCD" w:rsidRPr="0088763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կամ ծանր </w:t>
      </w:r>
      <w:r w:rsidR="008D67D7" w:rsidRPr="0088763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(2-րդ խմբի) </w:t>
      </w:r>
      <w:r w:rsidR="00883BCD" w:rsidRPr="0088763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աստիճանի սահմանափակումով հաշմանդամության զինվորական կենսաթոշակ ստանալու իրավունք ունեցող նախկին զինծառայողները</w:t>
      </w:r>
      <w:r w:rsidR="008D67D7" w:rsidRPr="0088763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8D67D7" w:rsidRPr="008D67D7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 xml:space="preserve">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</w:t>
      </w:r>
      <w:r w:rsidR="00693BE1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ոնք անշարժ գույքի հարկով կամ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փոխադրամիջոցի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 xml:space="preserve">գույքահարկով հարկման օբյեկտ համարվող բնակելի </w:t>
      </w:r>
      <w:r w:rsidR="00693BE1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նշանակության շինությունը կամ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փոխադրամիջոցը ձեռք են բերել մինչև սույն </w:t>
      </w:r>
      <w:r w:rsidR="00434621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որոշումն ուժի մեջ մտնելը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="008802FD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:rsidR="00AA1014" w:rsidRPr="005F783A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3) Հայաստանի Հանրապետության պաշտպանության մարտական գործողությունների կամ հակառակորդի հետ շփման գծում մարտական հերթապահության կամ հատուկ առաջադրանքներ կատարելու կամ հակառակորդի նախահարձակ գործողությունների հետևանքով գերեվարված, անհայտ բացակայող </w:t>
      </w:r>
      <w:r w:rsidR="00434621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ճանաչված </w:t>
      </w:r>
      <w:r w:rsidR="00193394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անձինք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 մահացած ճանաչված</w:t>
      </w:r>
      <w:r w:rsidR="00D12709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անձի ընտանիքի անդամ</w:t>
      </w:r>
      <w:r w:rsidR="000073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:rsidR="00E26E5B" w:rsidRPr="005F783A" w:rsidRDefault="00E26E5B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4)</w:t>
      </w:r>
      <w:r w:rsidR="00814F13" w:rsidRPr="00814F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734C97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2024 թվականի հունիսի 1-ի դրությամբ</w:t>
      </w:r>
      <w:r w:rsidR="00734C97" w:rsidRPr="00734C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Հայաստանի Հանրա</w:t>
      </w:r>
      <w:r w:rsidR="00020A8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պետության Շիրակի մարզի Ախուրյան համայնք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ին 500 հազար և ավել հարկային պարտավորություն ունեցող անձանց նկատմամբ եթե վերջիններս վճարել </w:t>
      </w:r>
      <w:r w:rsidR="00B97E1C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են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500 հազար և ավել գոյացած ապառքը</w:t>
      </w:r>
      <w:r w:rsidR="00814F13" w:rsidRPr="00814F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վերջիններ</w:t>
      </w:r>
      <w:r w:rsidR="00814F13" w:rsidRPr="00814F1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 սահմանել արտոնություն</w:t>
      </w:r>
      <w:r w:rsidR="00814F13" w:rsidRPr="00356E0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տույժի ամբողջական զիջմամբ, սույն կետը գործում է միայն ապառքի ամբողջական մարման դեպքում։</w:t>
      </w:r>
    </w:p>
    <w:p w:rsidR="00250FC2" w:rsidRPr="005F783A" w:rsidRDefault="00F05597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055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Սույն </w:t>
      </w:r>
      <w:r w:rsidR="00D2112D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կարգով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ս</w:t>
      </w:r>
      <w:r w:rsidR="008F26D3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ահմանված անշարժ գույքի հարկի կամ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փոխադրամիջոցի գույքահարկի </w:t>
      </w:r>
      <w:r w:rsidR="00D2112D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գծով 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արտոնություններից գրավոր հրաժարվելու դեպքում արտոնությունը համարվում է չսահմանված՝ տվյալ դիմողի մասով:</w:t>
      </w:r>
    </w:p>
    <w:p w:rsidR="00250FC2" w:rsidRPr="005F783A" w:rsidRDefault="00F05597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Սույն</w:t>
      </w:r>
      <w:r w:rsidR="00D12709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կարգի իմաստով ընտանիքի անդամ են հանդիսանում ամուսինը, ծնողը և զավակ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 (որդեգրողները և որ</w:t>
      </w:r>
      <w:r w:rsidR="00D12709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դեգրվածները), ինչպես նաև քույրը և եղբայր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ը, եթե վերջիններս սույն կարգի 3-րդ կետի 1-ին կամ 3-րդ ենթակետերում նշված հանգամանքների ի հայտ գալու (հաստատման) օրվա դրությամբ փաստացի բնակվել են նույն հասցեում և ամուսնացած չեն եղել:</w:t>
      </w:r>
    </w:p>
    <w:p w:rsidR="00250FC2" w:rsidRPr="005F783A" w:rsidRDefault="00F05597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Հարկ վճա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րողներին անշարժ գույքի հարկի կամ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փոխադրամիջոցի գույքահարկի</w:t>
      </w:r>
      <w:r w:rsidRPr="00F055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գծով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արտոնություն կարող է սահմանվել </w:t>
      </w:r>
      <w:r w:rsidR="00E26E5B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Ախուրյան</w:t>
      </w:r>
      <w:r w:rsidR="005972CD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ղեկավարի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ներկայացմամբ:</w:t>
      </w:r>
    </w:p>
    <w:p w:rsidR="006160E9" w:rsidRPr="005F783A" w:rsidRDefault="00F05597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7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6160E9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Հարկ վճա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րողներին անշարժ գույքի հարկի կամ</w:t>
      </w:r>
      <w:r w:rsidR="006160E9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փոխադրամիջոցի գույքահարկի</w:t>
      </w:r>
      <w:r w:rsidRPr="00F055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գծով</w:t>
      </w:r>
      <w:r w:rsidR="006160E9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արտոնություն կարող է սահմանվել՝</w:t>
      </w:r>
    </w:p>
    <w:p w:rsidR="006160E9" w:rsidRPr="005F783A" w:rsidRDefault="006160E9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համայնքի ղեկավարի կամ ավագանու անդամի նախաձեռնությամբ</w:t>
      </w:r>
      <w:r w:rsidR="003B19A4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:rsidR="00370FBE" w:rsidRPr="00056F28" w:rsidRDefault="006160E9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2) </w:t>
      </w:r>
      <w:r w:rsidR="003B19A4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հարկ վճարողի հայցմամբ՝ հ</w:t>
      </w:r>
      <w:r w:rsidR="00415E4E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ամայնքի ղեկավարի եզրակացությամբ: </w:t>
      </w:r>
    </w:p>
    <w:p w:rsidR="006160E9" w:rsidRPr="003D2B64" w:rsidRDefault="00415E4E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Եզրակացությունը տրվում է </w:t>
      </w:r>
      <w:r w:rsidR="003D2B64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միայն </w:t>
      </w:r>
      <w:r w:rsidR="00CA05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սույն հավելվածի 9</w:t>
      </w:r>
      <w:bookmarkStart w:id="0" w:name="_GoBack"/>
      <w:bookmarkEnd w:id="0"/>
      <w:r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</w:t>
      </w:r>
      <w:r w:rsidR="003D2B64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կետում նշված փաստաթղթերի առկայության դեպքում՝ հարկային արտոնություն տրամադրելու անհրաժեշտության հիմնավորմամբ:</w:t>
      </w:r>
      <w:r w:rsidR="003D2B64" w:rsidRPr="003D2B6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</w:p>
    <w:p w:rsidR="00250FC2" w:rsidRPr="005F783A" w:rsidRDefault="00F05597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055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8</w:t>
      </w:r>
      <w:r w:rsidR="003B19A4" w:rsidRPr="005F783A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3B19A4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Այն դեպքում, երբ արտոնությունը սահմանվում է </w:t>
      </w:r>
      <w:r w:rsidR="003B19A4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 ղեկավարի</w:t>
      </w:r>
      <w:r w:rsidR="00E25555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կամ ավագանու անդամի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նախաձեռնությամբ, </w:t>
      </w:r>
      <w:r w:rsidR="00502B1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նախաձեռնողի</w:t>
      </w:r>
      <w:r w:rsidR="003B19A4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կողմից օրենսդրությամբ սահմանված կարգով </w:t>
      </w:r>
      <w:r w:rsidR="003B19A4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համայնքի 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ավագանու քննարկմանն է ներկ</w:t>
      </w:r>
      <w:r w:rsidR="008F26D3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այացվում անշարժ գույքի </w:t>
      </w:r>
      <w:r w:rsidR="008F26D3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հարկի կամ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փոխադրամիջոցի գույքահարկի գծով արտոնություն սահմանելու վերաբերյալ առաջարկությունը` նշելով հարկային օրենսդրությամբ նախատեսված հարկային արտոնության տեսակը և հայցվող արտոնության գումարի մեծությունը` հարկային արտոնություն տալու անհրաժեշտության հիմնավորմամբ:</w:t>
      </w:r>
    </w:p>
    <w:p w:rsidR="00250FC2" w:rsidRPr="003E7F6D" w:rsidRDefault="00F05597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9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Այն դեպքում, երբ արտոնությունը հայցվում է հարկ վճարողի կողմից, հարկ վճարողը </w:t>
      </w:r>
      <w:r w:rsidR="001F2D68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 ղեկավարին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է ներկ</w:t>
      </w:r>
      <w:r w:rsidR="008F26D3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այացնում անշարժ գույքի հարկի կամ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փոխադրամիջոցի գույքահարկի գծով արտոնություն ստանալու վերաբերյալ դիմում` նշելով հարկային օրենսդրությամբ նախատեսված հարկային արտոնության տեսակը և հայցվող արտոնության գումարը, տեղեկություններ` առաջացած հարկային պարտավորությունները ժամանակին կատարելու անհնարինության, տույժերի ու տուգանքների առաջացման պատճառների մասին՝ հարկային արտոնություն ստանալու անհրաժեշտության հիմնավորմամբ: Դիմումին կից ներկայացվում են սույն կարգի 3-րդ կետի 1-ին, 2-րդ կամ 3-րդ ենթակետերով սահմանված խմբերի ներկայացուցիչ լինելու փաստը հավաստող փաստաթղթերի պատճենն</w:t>
      </w:r>
      <w:r w:rsidR="00131FE6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երը, սույն </w:t>
      </w:r>
      <w:r w:rsidR="00131FE6" w:rsidRPr="008876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կարգի </w:t>
      </w:r>
      <w:r w:rsidR="00D02409" w:rsidRPr="00887633">
        <w:rPr>
          <w:rFonts w:ascii="GHEA Grapalat" w:eastAsia="Times New Roman" w:hAnsi="GHEA Grapalat" w:cs="Times New Roman"/>
          <w:sz w:val="24"/>
          <w:szCs w:val="24"/>
          <w:lang w:val="hy-AM"/>
        </w:rPr>
        <w:t>7</w:t>
      </w:r>
      <w:r w:rsidR="00131FE6" w:rsidRPr="00887633">
        <w:rPr>
          <w:rFonts w:ascii="GHEA Grapalat" w:eastAsia="Times New Roman" w:hAnsi="GHEA Grapalat" w:cs="Times New Roman"/>
          <w:sz w:val="24"/>
          <w:szCs w:val="24"/>
          <w:lang w:val="hy-AM"/>
        </w:rPr>
        <w:t>-րդ կետով և 1</w:t>
      </w:r>
      <w:r w:rsidR="00D02409" w:rsidRPr="00887633">
        <w:rPr>
          <w:rFonts w:ascii="GHEA Grapalat" w:eastAsia="Times New Roman" w:hAnsi="GHEA Grapalat" w:cs="Times New Roman"/>
          <w:sz w:val="24"/>
          <w:szCs w:val="24"/>
          <w:lang w:val="hy-AM"/>
        </w:rPr>
        <w:t>5</w:t>
      </w:r>
      <w:r w:rsidR="00250FC2" w:rsidRPr="00887633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-րդ կետի 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1-ին ենթակետով նախատեսված և արտոնության կիրառման համար անհրաժեշտ փաստաթղթերի պատճենները:</w:t>
      </w:r>
    </w:p>
    <w:p w:rsidR="00250FC2" w:rsidRPr="005F783A" w:rsidRDefault="00F05597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10</w:t>
      </w:r>
      <w:r w:rsidR="00D0434C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Անշարժ գույքի հարկի և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փոխադրամիջոցի գույքահարկի գծով արտոնություն չի կարող սահմանվել, եթե արտոնություն հայցող անձը (բացի արտոնության կիրառման համար հիմք հանդիսացող ժամկետանց պարտավորությունների) </w:t>
      </w:r>
      <w:r w:rsidR="00E26E5B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Ախուրյան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համայնքի հանդեպ ունի չկատարված այ</w:t>
      </w:r>
      <w:r w:rsidR="00500F4E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լ ժամկետանց պարտավորություններ։</w:t>
      </w:r>
    </w:p>
    <w:p w:rsidR="00250FC2" w:rsidRPr="005F783A" w:rsidRDefault="00F05597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11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212E50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 ղեկավարը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հարկ</w:t>
      </w:r>
      <w:r w:rsidR="00212E50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="002D641F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վճարողի դիմումը և սույն կարգի 11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-րդ կետում նշված անհրաժեշտ փաստաթղթերը ստանալուց հետո մեկամսյա ժամկետում՝</w:t>
      </w:r>
    </w:p>
    <w:p w:rsidR="00250FC2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1) </w:t>
      </w:r>
      <w:r w:rsidR="00494057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կարգով նախատեսված պայմանները բավարարելու</w:t>
      </w:r>
      <w:r w:rsidR="00494057" w:rsidRPr="005F78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դեպքում՝ հարկ վճարողին հարկային արտոնություն տրամադրելու վերաբերյալ հարցը՝ հարկ վճարողի ներկայացրած փաստաթղթերի հետ մեկտեղ օրենսդրությամբ սահմանված կարգով ներկայացնում է համայնքի ավագանու քննարկմանը.</w:t>
      </w:r>
    </w:p>
    <w:p w:rsidR="005F783A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2) </w:t>
      </w:r>
      <w:r w:rsidR="003928C8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կարգով նախատեսված պայմանները չբավարարելու</w:t>
      </w:r>
      <w:r w:rsidR="003928C8" w:rsidRPr="005F783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դեպքում</w:t>
      </w:r>
      <w:r w:rsidR="003928C8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՝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հայցողի ներկայացրած փաստաթղթերը վերադարձնում է հարկ վճարողին` գրավոր նշելով չհամաձայնելու պատճառները, փաստական և իրավական հիմքերը:</w:t>
      </w:r>
    </w:p>
    <w:p w:rsidR="00250FC2" w:rsidRPr="005F783A" w:rsidRDefault="003F09C6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F055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034DFB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ավագանին հարցը քննարկելուց հետո ընդունում է որոշում հարկ վճարո</w:t>
      </w:r>
      <w:r w:rsidR="00A65FC7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ղի համար անշարժ գույքի հարկի կամ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փոխադրամիջոցի գույքահարկի գծով արտոնություն 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lastRenderedPageBreak/>
        <w:t>սահմանելու և հարկ վճարողի փոխարեն համայնքի բյուջեից վճարում կատարելու մասին կամ մերժում է արտոնության տրամադրումը:</w:t>
      </w:r>
    </w:p>
    <w:p w:rsidR="00250FC2" w:rsidRPr="005F783A" w:rsidRDefault="003F09C6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F055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Համայնքի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ավագանու որոշման մեջ</w:t>
      </w:r>
      <w:r w:rsidR="001F7D75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«Վարչարարության հիմունքների և վարչական վարույթի մասին» օրենքի 55-րդ հոդվածի 4-րդ մասի դրույթներից բացի, 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նշվում են</w:t>
      </w:r>
      <w:r w:rsidR="001F7D75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նաև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`</w:t>
      </w:r>
    </w:p>
    <w:p w:rsidR="00250FC2" w:rsidRPr="005F783A" w:rsidRDefault="00415E4E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1) հարկ </w:t>
      </w:r>
      <w:r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վճարողի հաշվառ</w:t>
      </w:r>
      <w:r w:rsidR="00250FC2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ման և գույքի գտնվելու </w:t>
      </w:r>
      <w:r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վայրի </w:t>
      </w:r>
      <w:r w:rsidR="00250FC2" w:rsidRPr="00056F28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հասցեները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հարկ վճարողի անվանումն ու հարկ </w:t>
      </w:r>
      <w:r w:rsidR="00CA05F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վճարողի հաշվառման համարը (ՀՎՀՀ) կամ 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ֆիզիկական անձի հանրային ծառայության համարանիշը (ՀԾՀ).</w:t>
      </w:r>
    </w:p>
    <w:p w:rsidR="00250FC2" w:rsidRPr="005F783A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հարկային օրենսդրությամբ սահմանված` տրամադրվող արտոնության տեսակը.</w:t>
      </w:r>
    </w:p>
    <w:p w:rsidR="00250FC2" w:rsidRPr="005F783A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արտոնության գումարի մեծությունը, իսկ հարկի ժամկետային արտոնության տրամադրման դեպքում` հետաձգման ժամկետները:</w:t>
      </w:r>
    </w:p>
    <w:p w:rsidR="00250FC2" w:rsidRPr="005F783A" w:rsidRDefault="003F09C6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F055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</w:t>
      </w:r>
      <w:r w:rsidR="00250FC2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 Հայաստանի Հանրապետության հարկային օրենսգրքի 230-րդ հոդվածի 3-րդ մասով և 245-րդ հոդվածի 2-րդ մասով նախատեսված չափի հաշվարկման նպատակով`</w:t>
      </w:r>
    </w:p>
    <w:p w:rsidR="00250FC2" w:rsidRPr="005F783A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հարկվող օբյեկտի, հարկի դրույքաչափի կամ հարկի նվազեցման գծով արտոնություն սահմանելիս, արտոնության գումարը հաշվարկվում է` հիմք ընդունելով հաշվառման տվյալների հիման վրա հաշվարկված հարկի գումարները, իսկ եթե դա անհնարին է, ապա հիմք ընդունելով հարկ վճարողի նախորդ հաշվետու ժամանակաշրջանի հաշվառման տվյալների հիման վրա հաշվարկված հարկի գումարների մեծությունը.</w:t>
      </w:r>
    </w:p>
    <w:p w:rsidR="00250FC2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հարկի հաշվարկման կամ վճարման ժամկետի, ինչ</w:t>
      </w:r>
      <w:r w:rsidR="00C26F76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պես նաև հարկային օրենսդրությամբ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և հարկային հարաբերությունները կարգավորող </w:t>
      </w:r>
      <w:r w:rsidR="00C26F76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այլ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իրավական ակտեր</w:t>
      </w:r>
      <w:r w:rsidR="00C26F76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ով նախատեսված պահանջները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խախտելու համար հաշվարկված հարկային օրենսդրությամբ սահմանված տույժերի ու տուգանքների վճարման ժամկետի գծով արտոնություն սահմանելիս, տվյալ բյուջետային տարում արտոնության գումարը հաշվարկվում է հետաձգվող հարկային պարտավորության գումարի նկատմամբ տվյալ բյուջետային տարվա ընթացքում արտոնության մնացած ժամանակահատվածի համար հարկային օրենսդրությամբ սահմանված կարգով հարկի գումարի նկատմամբ հաշվարկվող տույժերի գումարի չափով:</w:t>
      </w:r>
    </w:p>
    <w:p w:rsidR="00250FC2" w:rsidRPr="005F783A" w:rsidRDefault="00250FC2" w:rsidP="005F783A">
      <w:pPr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</w:t>
      </w:r>
      <w:r w:rsidR="00F05597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. </w:t>
      </w:r>
      <w:r w:rsidR="00805CEB"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Համայնքի </w:t>
      </w:r>
      <w:r w:rsidRPr="005F783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ավագանու կողմից սույն կարգով չնախատեսված կարգով արտոնությունների սահմանումն արգելվում է, այդ թվում` հարկ վճարողների հարկային պարտավորությունների կատարման համար համայնքի բյուջեից փոխհատուցում տրամադրելու միջոցով:</w:t>
      </w:r>
    </w:p>
    <w:sectPr w:rsidR="00250FC2" w:rsidRPr="005F783A" w:rsidSect="00EA1D98">
      <w:pgSz w:w="11907" w:h="16839" w:code="9"/>
      <w:pgMar w:top="709" w:right="562" w:bottom="567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7B"/>
    <w:rsid w:val="00007305"/>
    <w:rsid w:val="00020A87"/>
    <w:rsid w:val="00034DFB"/>
    <w:rsid w:val="00043F7D"/>
    <w:rsid w:val="00050865"/>
    <w:rsid w:val="00056F28"/>
    <w:rsid w:val="000E10A5"/>
    <w:rsid w:val="00106F6B"/>
    <w:rsid w:val="00131FE6"/>
    <w:rsid w:val="0016687B"/>
    <w:rsid w:val="00185AE1"/>
    <w:rsid w:val="00193394"/>
    <w:rsid w:val="001F2D68"/>
    <w:rsid w:val="001F7D75"/>
    <w:rsid w:val="00212E50"/>
    <w:rsid w:val="00250FC2"/>
    <w:rsid w:val="002D641F"/>
    <w:rsid w:val="002E1B8A"/>
    <w:rsid w:val="00321633"/>
    <w:rsid w:val="003542E1"/>
    <w:rsid w:val="00356E03"/>
    <w:rsid w:val="00370FBE"/>
    <w:rsid w:val="003928C8"/>
    <w:rsid w:val="003B19A4"/>
    <w:rsid w:val="003B45BC"/>
    <w:rsid w:val="003B4E25"/>
    <w:rsid w:val="003D2B64"/>
    <w:rsid w:val="003E7F6D"/>
    <w:rsid w:val="003F09C6"/>
    <w:rsid w:val="00415E4E"/>
    <w:rsid w:val="00434621"/>
    <w:rsid w:val="00447F66"/>
    <w:rsid w:val="00494057"/>
    <w:rsid w:val="00500F4E"/>
    <w:rsid w:val="00502B12"/>
    <w:rsid w:val="00552015"/>
    <w:rsid w:val="005765D6"/>
    <w:rsid w:val="005972CD"/>
    <w:rsid w:val="005F783A"/>
    <w:rsid w:val="00606A55"/>
    <w:rsid w:val="006160E9"/>
    <w:rsid w:val="00622287"/>
    <w:rsid w:val="00630377"/>
    <w:rsid w:val="00633522"/>
    <w:rsid w:val="00693BE1"/>
    <w:rsid w:val="006F0726"/>
    <w:rsid w:val="00714CFD"/>
    <w:rsid w:val="00734C97"/>
    <w:rsid w:val="00736211"/>
    <w:rsid w:val="007D097E"/>
    <w:rsid w:val="00801938"/>
    <w:rsid w:val="00805CEB"/>
    <w:rsid w:val="00814F13"/>
    <w:rsid w:val="00832D0C"/>
    <w:rsid w:val="00840B37"/>
    <w:rsid w:val="008802FD"/>
    <w:rsid w:val="00883BCD"/>
    <w:rsid w:val="00887633"/>
    <w:rsid w:val="008D67D7"/>
    <w:rsid w:val="008F26D3"/>
    <w:rsid w:val="009C1B3E"/>
    <w:rsid w:val="00A046DB"/>
    <w:rsid w:val="00A42C9A"/>
    <w:rsid w:val="00A65FC7"/>
    <w:rsid w:val="00AA1014"/>
    <w:rsid w:val="00AA69D0"/>
    <w:rsid w:val="00AE0A47"/>
    <w:rsid w:val="00AF191C"/>
    <w:rsid w:val="00B14806"/>
    <w:rsid w:val="00B76C0C"/>
    <w:rsid w:val="00B93DF7"/>
    <w:rsid w:val="00B97E1C"/>
    <w:rsid w:val="00BE2E89"/>
    <w:rsid w:val="00C06D7B"/>
    <w:rsid w:val="00C14828"/>
    <w:rsid w:val="00C26F76"/>
    <w:rsid w:val="00C67B58"/>
    <w:rsid w:val="00C97275"/>
    <w:rsid w:val="00CA05F7"/>
    <w:rsid w:val="00D02409"/>
    <w:rsid w:val="00D0434C"/>
    <w:rsid w:val="00D12709"/>
    <w:rsid w:val="00D2112D"/>
    <w:rsid w:val="00DB0D37"/>
    <w:rsid w:val="00DD058F"/>
    <w:rsid w:val="00E2389C"/>
    <w:rsid w:val="00E25555"/>
    <w:rsid w:val="00E26E5B"/>
    <w:rsid w:val="00E841DE"/>
    <w:rsid w:val="00EA1D98"/>
    <w:rsid w:val="00EC1D7E"/>
    <w:rsid w:val="00ED0F04"/>
    <w:rsid w:val="00EF3542"/>
    <w:rsid w:val="00EF3C23"/>
    <w:rsid w:val="00F05597"/>
    <w:rsid w:val="00F10B6E"/>
    <w:rsid w:val="00FA6496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4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4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4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024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024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024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024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024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2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E1337-72F3-4858-8164-19D3D056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/>
  <dc:description/>
  <cp:lastModifiedBy>User</cp:lastModifiedBy>
  <cp:revision>43</cp:revision>
  <cp:lastPrinted>2024-06-11T11:44:00Z</cp:lastPrinted>
  <dcterms:created xsi:type="dcterms:W3CDTF">2023-04-27T09:39:00Z</dcterms:created>
  <dcterms:modified xsi:type="dcterms:W3CDTF">2024-06-12T06:00:00Z</dcterms:modified>
</cp:coreProperties>
</file>