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11ABE" w14:textId="6539CB32" w:rsidR="007F468A" w:rsidRPr="00933D5C" w:rsidRDefault="007F468A" w:rsidP="007F468A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color w:val="000000"/>
          <w:sz w:val="21"/>
          <w:szCs w:val="21"/>
        </w:rPr>
      </w:pPr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Հավելված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t>11</w:t>
      </w:r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br/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Հայաստանի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Հանրապետության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Շիրակի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մարզի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br/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Ախուրյան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համայնքի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ավագանու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br/>
        <w:t xml:space="preserve">2023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թվականի</w:t>
      </w:r>
      <w:proofErr w:type="spellEnd"/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դեկտեմբերի</w:t>
      </w:r>
      <w:proofErr w:type="spellEnd"/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21-ի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թիվ</w:t>
      </w:r>
      <w:proofErr w:type="spellEnd"/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–Ա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որոշման</w:t>
      </w:r>
      <w:proofErr w:type="spellEnd"/>
    </w:p>
    <w:p w14:paraId="1D9BD2A7" w14:textId="77777777" w:rsidR="007F468A" w:rsidRPr="00933D5C" w:rsidRDefault="007F468A" w:rsidP="007F468A">
      <w:pPr>
        <w:spacing w:after="0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</w:pPr>
    </w:p>
    <w:p w14:paraId="7DED0C28" w14:textId="77777777" w:rsidR="007F468A" w:rsidRPr="00933D5C" w:rsidRDefault="007F468A" w:rsidP="007F468A">
      <w:pPr>
        <w:spacing w:after="0"/>
        <w:ind w:firstLine="709"/>
        <w:jc w:val="both"/>
        <w:rPr>
          <w:rFonts w:ascii="GHEA Grapalat" w:hAnsi="GHEA Grapalat"/>
          <w:color w:val="000000" w:themeColor="text1"/>
          <w:shd w:val="clear" w:color="auto" w:fill="FFFFFF"/>
        </w:rPr>
      </w:pPr>
    </w:p>
    <w:p w14:paraId="09F86347" w14:textId="77777777" w:rsidR="007F468A" w:rsidRDefault="007F468A" w:rsidP="007F468A">
      <w:pPr>
        <w:spacing w:after="0"/>
        <w:ind w:firstLine="709"/>
        <w:jc w:val="both"/>
        <w:rPr>
          <w:rFonts w:ascii="GHEA Grapalat" w:hAnsi="GHEA Grapalat"/>
          <w:color w:val="000000" w:themeColor="text1"/>
          <w:shd w:val="clear" w:color="auto" w:fill="FFFFFF"/>
        </w:rPr>
      </w:pPr>
    </w:p>
    <w:p w14:paraId="1905614E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7E729DE3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0E200248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7D043E86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26DF87A1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6862E328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34B17429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16C221B0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309319C8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1650D404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35E2666F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49808704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62C8845C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418AAA71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7FB995E7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0DB8AB7E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0097BBE5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580FFFBB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78D283F8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3F1DC0FF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7381D2DF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5683A5DA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137E8B51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78B36436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151857E4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61F08B6F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642217B6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0AF47AA9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60125B31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3B4150AD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53C0C993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2601E63E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31EAAA32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1290198E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3D312AD0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22443951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2E57A468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734AE44C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1B25327F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7D0EE16A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B11864">
        <w:rPr>
          <w:rFonts w:ascii="Calibri" w:eastAsia="Times New Roman" w:hAnsi="Calibri" w:cs="Calibri"/>
          <w:color w:val="000000"/>
          <w:sz w:val="21"/>
          <w:szCs w:val="21"/>
        </w:rPr>
        <w:t xml:space="preserve">                                                           </w:t>
      </w:r>
    </w:p>
    <w:p w14:paraId="3EEA90F3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47C7946A" w14:textId="77777777" w:rsidR="007F468A" w:rsidRDefault="007F468A" w:rsidP="007F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4E95940D" w14:textId="77777777" w:rsidR="007F468A" w:rsidRDefault="007F468A" w:rsidP="007F468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  <w:r w:rsidRPr="00933D5C">
        <w:rPr>
          <w:rFonts w:ascii="GHEA Grapalat" w:eastAsia="Times New Roman" w:hAnsi="GHEA Grapalat" w:cs="Calibri"/>
          <w:color w:val="000000"/>
          <w:sz w:val="28"/>
          <w:szCs w:val="28"/>
        </w:rPr>
        <w:lastRenderedPageBreak/>
        <w:t>ԿԱՆՈՆԱԴՐՈՒԹՅՈՒՆ</w:t>
      </w:r>
    </w:p>
    <w:p w14:paraId="5B5DA5FD" w14:textId="77777777" w:rsidR="007F468A" w:rsidRDefault="007F468A" w:rsidP="007F468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32B5D100" w14:textId="60EAFD63" w:rsidR="007F468A" w:rsidRDefault="007F468A" w:rsidP="007F468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 ՀԱՆՐԱՊԵՏՈՒԹՅԱՆ ՇԻՐԱԿԻ ՄԱՐԶԻ ԱԽՈՒՐՅԱՆ ՀԱՄԱՅՆՔԻ «</w:t>
      </w:r>
      <w:r w:rsidR="00512D7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ԱՐԵՎԻԿԻ 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ՄԱՆԿԱՊԱՐՏԵԶ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» ՀԱՄԱՅՆՔԱՅԻ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 ՈՉ ԱՌԵՎՏՐԱՅԻՆ ԿԱԶՄԱԿԵՐՊՈՒԹՅԱՆ</w:t>
      </w:r>
    </w:p>
    <w:p w14:paraId="041FAAAC" w14:textId="77777777" w:rsidR="007F468A" w:rsidRDefault="007F468A" w:rsidP="007F468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4DE32867" w14:textId="77777777" w:rsidR="007F468A" w:rsidRPr="00933D5C" w:rsidRDefault="007F468A" w:rsidP="007F468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  <w:r>
        <w:rPr>
          <w:rFonts w:ascii="GHEA Grapalat" w:eastAsia="Times New Roman" w:hAnsi="GHEA Grapalat" w:cs="Calibri"/>
          <w:color w:val="000000"/>
          <w:sz w:val="28"/>
          <w:szCs w:val="28"/>
        </w:rPr>
        <w:t>ԳԼՈՒԽ 1</w:t>
      </w:r>
    </w:p>
    <w:p w14:paraId="1E91DFCC" w14:textId="77777777" w:rsidR="007F468A" w:rsidRPr="00F55E47" w:rsidRDefault="007F468A" w:rsidP="007F468A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                                                            </w:t>
      </w:r>
      <w:r w:rsidRPr="00B11864">
        <w:rPr>
          <w:rFonts w:ascii="Calibri" w:eastAsia="Times New Roman" w:hAnsi="Calibri" w:cs="Calibri"/>
          <w:color w:val="000000"/>
          <w:sz w:val="21"/>
          <w:szCs w:val="21"/>
        </w:rPr>
        <w:t xml:space="preserve"> 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ԸՆԴՀԱՆՈՒՐ ԴՐՈՒՅԹՆԵ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/>
        </w:rPr>
        <w:t>Ր</w:t>
      </w:r>
    </w:p>
    <w:p w14:paraId="6BB1A73B" w14:textId="77777777" w:rsidR="00127EF9" w:rsidRPr="007F468A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1969626B" w14:textId="27324F5B" w:rsidR="00127EF9" w:rsidRPr="007F468A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>1.</w:t>
      </w:r>
      <w:r w:rsidR="0032344E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r w:rsidR="0032344E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2344E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="0032344E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2344E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Շիրակիմարզի</w:t>
      </w:r>
      <w:proofErr w:type="spellEnd"/>
      <w:r w:rsidR="0032344E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744AD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Ախուրյան</w:t>
      </w:r>
      <w:proofErr w:type="spellEnd"/>
      <w:r w:rsidR="004744AD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744AD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համայնքի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«</w:t>
      </w:r>
      <w:proofErr w:type="spellStart"/>
      <w:r w:rsidR="008B1F03"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Արևիկի</w:t>
      </w:r>
      <w:proofErr w:type="spellEnd"/>
      <w:r w:rsidR="004744AD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744AD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մանկապարտեզ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>»</w:t>
      </w:r>
      <w:r w:rsidR="00B2031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744AD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proofErr w:type="spellEnd"/>
      <w:r w:rsidR="004744AD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744AD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="00B2031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744AD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առևտրային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կազմակերպությունը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իրավաբանական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անձի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կարգավիճակ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ունեցող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ուսումնական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այսուհետ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որը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լիցենզիայի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հիման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առնվազն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տեսակի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ծրագիր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ծառայություններ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AF17092" w14:textId="77777777" w:rsidR="00127EF9" w:rsidRPr="007F468A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ղեկավարվում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Սահմանադրությամբ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>, «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>», «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>», «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Հանրակրթության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>», «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առևտրային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կազմակերպությունների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>», «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իրավունքների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</w:t>
      </w: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«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Տեղական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ինքնակառավարման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օրենքներով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իրավական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ակտերով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այսուհետ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կանոնադրություն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>):</w:t>
      </w:r>
    </w:p>
    <w:p w14:paraId="1B7878BE" w14:textId="160F3FCE" w:rsidR="00127EF9" w:rsidRPr="007F468A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գտնվելու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վայրն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32344E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</w:t>
      </w:r>
      <w:proofErr w:type="spellStart"/>
      <w:r w:rsid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այաստանի</w:t>
      </w:r>
      <w:proofErr w:type="spellEnd"/>
      <w:r w:rsidR="00373CB6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Հանրապետություն</w:t>
      </w:r>
      <w:proofErr w:type="spellEnd"/>
      <w:r w:rsidR="0032344E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10D53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Շիրակի</w:t>
      </w:r>
      <w:proofErr w:type="spellEnd"/>
      <w:r w:rsidR="00310D53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10D53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մարզ</w:t>
      </w:r>
      <w:proofErr w:type="spellEnd"/>
      <w:r w:rsidR="00310D53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310D53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</w:t>
      </w:r>
      <w:proofErr w:type="spellEnd"/>
      <w:r w:rsidR="00310D53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10D53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Ախուրյան</w:t>
      </w:r>
      <w:proofErr w:type="spellEnd"/>
      <w:r w:rsidR="00310D53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310D53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գյուղ</w:t>
      </w:r>
      <w:proofErr w:type="spellEnd"/>
      <w:r w:rsidR="00310D53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B1F03"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Արևիկ</w:t>
      </w:r>
      <w:proofErr w:type="spellEnd"/>
      <w:r w:rsidR="008B1F03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8-</w:t>
      </w:r>
      <w:proofErr w:type="spellStart"/>
      <w:r w:rsidR="008B1F03"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րդ</w:t>
      </w:r>
      <w:proofErr w:type="spellEnd"/>
      <w:r w:rsidR="008B1F03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B1F03"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փողոց</w:t>
      </w:r>
      <w:proofErr w:type="spellEnd"/>
      <w:r w:rsidR="008B1F03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1-</w:t>
      </w:r>
      <w:proofErr w:type="spellStart"/>
      <w:r w:rsidR="008B1F03"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ին</w:t>
      </w:r>
      <w:proofErr w:type="spellEnd"/>
      <w:r w:rsidR="008B1F03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B1F03"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նրբանցք</w:t>
      </w:r>
      <w:proofErr w:type="spellEnd"/>
      <w:r w:rsidR="008B1F03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B1F03"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թիվ</w:t>
      </w:r>
      <w:proofErr w:type="spellEnd"/>
      <w:r w:rsidR="008B1F03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9 </w:t>
      </w:r>
      <w:proofErr w:type="spellStart"/>
      <w:r w:rsidR="008B1F03"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մանկապարտեզ</w:t>
      </w:r>
      <w:proofErr w:type="spellEnd"/>
      <w:r w:rsidR="008B1F03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7BCD37B" w14:textId="77777777" w:rsidR="00127EF9" w:rsidRPr="007F468A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որպես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սեփականություն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առանձնացված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գույք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պարտավորությունների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պատասխանատու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գույքով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անունից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ձեռք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բերել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իրականացնել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գույքային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անձնական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գույքային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իրավունքներ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կրել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պարտականություններ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դատարանում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հանդես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գալ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որպես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հայցվոր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պատասխանող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20A1A4F" w14:textId="77777777" w:rsidR="00127EF9" w:rsidRPr="007F468A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անվանումն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14:paraId="78A00FA7" w14:textId="10D5168D" w:rsidR="00127EF9" w:rsidRPr="007F468A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հայերեն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լրիվ</w:t>
      </w:r>
      <w:r w:rsidR="00F1436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F1436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r w:rsidR="00F1436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ՇԻՐԱԿԻ</w:t>
      </w:r>
      <w:r w:rsidR="00F1436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ՄԱՐԶԻ</w:t>
      </w:r>
      <w:r w:rsidR="00F1436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ԱԽՈՒՐՅԱՆ</w:t>
      </w:r>
      <w:r w:rsidR="00F1436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F1436B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ՀԱՄԱՅՆՔԻ</w:t>
      </w:r>
      <w:r w:rsidR="00F1436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«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</w:t>
      </w:r>
      <w:proofErr w:type="spellStart"/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ՐևԻԿԻ</w:t>
      </w:r>
      <w:proofErr w:type="spellEnd"/>
      <w:r w:rsidR="00F1436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ՄԱՆԿԱՊԱՐՏԵԶ</w:t>
      </w:r>
      <w:r w:rsidR="00F1436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r w:rsidR="00F1436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r w:rsidR="00F1436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ԱՌևՏՐԱՅԻՆ</w:t>
      </w:r>
      <w:proofErr w:type="spellEnd"/>
      <w:r w:rsidR="00F1436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ԿԱԶՄԱԿԵՐՊՈՒԹՅՈՒՆ</w:t>
      </w:r>
    </w:p>
    <w:p w14:paraId="2F857A65" w14:textId="7205103E" w:rsidR="00127EF9" w:rsidRPr="007F468A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հայերեն</w:t>
      </w:r>
      <w:proofErr w:type="spellEnd"/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կրճատ</w:t>
      </w:r>
      <w:r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</w:t>
      </w:r>
      <w:proofErr w:type="spellEnd"/>
      <w:r w:rsidR="00F1436B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ԱՅԱՍՏԱՆԻ</w:t>
      </w:r>
      <w:r w:rsidR="00F1436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F1436B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ՀԱՆՐԱՊԵՏՈՒԹՅԱՆ</w:t>
      </w:r>
      <w:r w:rsidR="00F1436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ՇԻՐԱԿԻ</w:t>
      </w:r>
      <w:r w:rsidR="00F1436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ՄԱՐԶԻ</w:t>
      </w:r>
      <w:r w:rsidR="00F1436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ԱԽՈՒՐՅԱՆ</w:t>
      </w:r>
      <w:r w:rsidR="00F1436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F1436B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ՀԱՄԱՅՆՔԻ</w:t>
      </w:r>
      <w:r w:rsidR="00F1436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« 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</w:t>
      </w:r>
      <w:proofErr w:type="spellStart"/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ՐևԻԿԻ</w:t>
      </w:r>
      <w:proofErr w:type="spellEnd"/>
      <w:r w:rsidR="00F1436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ՄԱՆԿԱՊԱՐՏԵԶ</w:t>
      </w:r>
      <w:r w:rsidR="00F1436B" w:rsidRPr="007F46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ՀՈԱԿ</w:t>
      </w:r>
    </w:p>
    <w:p w14:paraId="2EB550EE" w14:textId="01BBF2F1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ռուսերեն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լրիվ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`</w:t>
      </w:r>
      <w:r w:rsidR="00D433BD"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r w:rsidR="00F1436B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РЕСПУБЛИКА АРМЕНИЯ ШИРАПАСКАЯ </w:t>
      </w:r>
      <w:proofErr w:type="gramStart"/>
      <w:r w:rsidR="00F1436B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ОБЛАСТЬ 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,,АРЕВИКСКИЙ</w:t>
      </w:r>
      <w:proofErr w:type="gramEnd"/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ДЕТСКИЙ САД,,  МУНИЦИПАЛЬНАЯ НЕКОММЕРЧЕСКАЯ ОРГАНИЗАЦИЯ</w:t>
      </w:r>
    </w:p>
    <w:p w14:paraId="7CEE84F0" w14:textId="20DF402B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lastRenderedPageBreak/>
        <w:t xml:space="preserve">4)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ռուսերեն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կրճատ</w:t>
      </w:r>
      <w:proofErr w:type="spellEnd"/>
      <w:proofErr w:type="gram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`</w:t>
      </w:r>
      <w:r w:rsidR="0018505D"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,</w:t>
      </w:r>
      <w:proofErr w:type="gramEnd"/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,</w:t>
      </w:r>
      <w:r w:rsidR="00F1436B" w:rsidRPr="00D3602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r w:rsidR="00F1436B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РЕСПУБЛИКА АРМЕНИЯ ШИРАПАСКАЯ ОБЛАСТЬ 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АРЕВИКСКИЙ ДЕТСКИЙ САД’’ МНКО</w:t>
      </w:r>
    </w:p>
    <w:p w14:paraId="656EDA28" w14:textId="516340D5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անգլերեն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լրիվ</w:t>
      </w:r>
      <w:proofErr w:type="spellEnd"/>
      <w:proofErr w:type="gram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  <w:r w:rsidR="0032344E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</w:t>
      </w:r>
      <w:r w:rsidR="00F1436B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  <w:proofErr w:type="gramEnd"/>
      <w:r w:rsidR="00F1436B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REPUBLIC OF ARMENIA </w:t>
      </w:r>
      <w:r w:rsidR="00F1436B">
        <w:rPr>
          <w:rFonts w:ascii="GHEA Grapalat" w:eastAsia="Times New Roman" w:hAnsi="GHEA Grapalat" w:cs="Times New Roman"/>
          <w:color w:val="000000"/>
          <w:sz w:val="24"/>
          <w:szCs w:val="24"/>
        </w:rPr>
        <w:t>PROVINCE</w:t>
      </w:r>
      <w:r w:rsidR="00F1436B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SHIRAK </w:t>
      </w:r>
      <w:r w:rsidR="00F1436B">
        <w:rPr>
          <w:rFonts w:ascii="GHEA Grapalat" w:eastAsia="Times New Roman" w:hAnsi="GHEA Grapalat" w:cs="Times New Roman"/>
          <w:color w:val="000000"/>
          <w:sz w:val="24"/>
          <w:szCs w:val="24"/>
        </w:rPr>
        <w:t>COMMUNITY AKHURYAN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, KINDERGARDEN OF AREVIK ,,.</w:t>
      </w:r>
      <w:r w:rsidR="00F1436B" w:rsidRPr="00373CB6">
        <w:rPr>
          <w:rFonts w:ascii="GHEA Grapalat" w:hAnsi="GHEA Grapalat"/>
          <w:sz w:val="24"/>
          <w:szCs w:val="24"/>
        </w:rPr>
        <w:t xml:space="preserve"> 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MUNICIPAL NONPROFIT ORGANIZATION OF AKHUYAN</w:t>
      </w:r>
    </w:p>
    <w:p w14:paraId="68B40AD1" w14:textId="6F440446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անգլերեն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կրճատ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  <w:proofErr w:type="gram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  <w:r w:rsidR="0018505D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proofErr w:type="gramEnd"/>
      <w:r w:rsidR="00F1436B"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KINDERGARDEN OF AREVIK’’  MNPO </w:t>
      </w:r>
    </w:p>
    <w:p w14:paraId="5E0FEF68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ունենալ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զինանշանի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պատկերով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հայերեն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անվանմամբ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կլոր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կնիք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ձևաթղթեր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խորհրդանիշ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անհատականացման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Կնիքը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ձևաթղթերը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խորհրդանիշը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անհատականացման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ձևավորելիս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հայերենին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զուգակցվել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լեզուներ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4604FCF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պաշտոնական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կայք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որտեղ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հրապարակվում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նախահաշիվը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ծախսերի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հաշվետվությունները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հաստիքացուցակը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թափուր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աշխատատեղերը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հայտարարությունները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DE288AD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8.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ինքնուրույն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հաշվեկշիռ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բանկային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հաշիվ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6A20B79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9.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մասնակից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հանդիսանալ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միայն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19EE464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10.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համագործակցել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օտարերկրյա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7ACBC74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11.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չեն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քաղաքական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կրոնական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ստեղծումն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8C665BD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2C25365" w14:textId="144EE345" w:rsidR="007F468A" w:rsidRDefault="007F468A" w:rsidP="007F468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ԳԼՈՒԽ </w:t>
      </w:r>
      <w:r w:rsidR="00127EF9" w:rsidRPr="00373CB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2</w:t>
      </w:r>
    </w:p>
    <w:p w14:paraId="5E39D4F5" w14:textId="789AB944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ՀԱՍՏԱՏՈՒԹՅԱՆ ԳՈՐԾՈՒՆԵՈՒԹՅԱՆ ԱՌԱՐԿԱՆ ԵՎ ՆՊԱՏԱԿԸ</w:t>
      </w:r>
    </w:p>
    <w:p w14:paraId="6BAB97EA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0EFCED7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12.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առարկան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յուրաքանչյուր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իրականացնելու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միջոցով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7ADED80E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13.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յուրաքանչյուր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թվում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առանձնահատուկ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կարիք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ունեցող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առանձնահատկություններին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առավելագույն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մասնակցության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չափորոշչով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արդյունքների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ապահովումն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է։</w:t>
      </w:r>
    </w:p>
    <w:p w14:paraId="52139C01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14.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ի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շահ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անհատի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հասարակության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554A336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15.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համագործակցելով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ընտանիքի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ընդգրկված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ներդաշնակ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զարգացումն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առողջության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ամրապնդումն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խնամքը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մայրենի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լեզվով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հաղորդակցվելու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դրա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օտար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լեզուների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տիրապետման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նախադրյալները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հաշվելու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տարրական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կարողությունների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վարվեցողության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տարրական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կանոններին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հայրենի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բնության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բնապահպանության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պատմության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ազգային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մշակույթի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տարրերին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ծանոթացումը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մտավոր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բարոյական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գեղագիտական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ֆիզիկական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հիմքերի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ստեղծումը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հայրենիքի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նկատմամբ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սիրո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նվիրվածության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զգացման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տարրական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կարողությունների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հմտությունների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ծանոթացումը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շեղումների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կանխարգելումն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շտկումը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դպրոցական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ուսուցման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նախապատրաստումը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B062815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16.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հիմնվում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ժողովրդավարության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մարդասիրության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ներառականության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ազգային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համամարդկային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արժեքների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զուգորդման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անձի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ազատ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աշխարհիկ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բնույթի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սկզբունքների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63C82D3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17.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չափորոշիչին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տարիքային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ֆիզիոլոգիական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սոցիալ-հոգեբանական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առանձնահատկություններին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հակումներին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ընդունակություններին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ուսուցման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մեթոդների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ձևերի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ընտրությամբ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A73A048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18.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միջոցառումներում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ծառայություններում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որպես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անբաժանելի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մաս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ներառվել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14:paraId="40D8DCDF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կողմից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ուսումնամեթոդական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փորձարարական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հետազոտական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A9E3472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աշխատողների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մասնագիտական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կատարելագործման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միջոցառումները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024EE6AA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խնամքի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առողջության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անվտանգության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միջոցառումները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պահպանելով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առողջապահության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նորմերը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27F3B4CB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սննդի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պահպանելով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առողջապահության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նորմերը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4B6B8998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տրանսպորտային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փոխադրումները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778A5F63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19.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իրականացնել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ձեռնարկատիրական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տեսակները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14:paraId="127A4AA2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լրացուցիչ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մարզաառողջարարական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ճամբարներում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կազմակերպվող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վճարովի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ծառայություններ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88DF174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ստեղծել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ռեսուրս-կենտրոններ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իրականացնել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մասնագետների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վերապատրաստման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խորհրդատվական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դասընթացներ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վարել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ծնողական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միտված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դասընթացներ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874EFB7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կազմակերպել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ուսուցում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դաստիարակություն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խնամք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391D33FF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կազմակերպել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ճկուն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ռեժիմով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սպասարկելու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ծառայություններ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3060827F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կազմակերպել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երկարօրյա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շուրջօրյա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ուսուցում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խնամք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017B1935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12211213" w14:textId="77777777" w:rsidR="007F468A" w:rsidRDefault="007F468A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55CCB640" w14:textId="77777777" w:rsidR="007F468A" w:rsidRDefault="007F468A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0BC0B014" w14:textId="17BAE974" w:rsidR="007F468A" w:rsidRDefault="007F468A" w:rsidP="007F468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ԳԼՈՒԽ </w:t>
      </w:r>
      <w:r w:rsidR="00127EF9" w:rsidRPr="00373CB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3</w:t>
      </w:r>
    </w:p>
    <w:p w14:paraId="6A82BC46" w14:textId="1B3CEF9A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ՀԱՍՏԱՏՈՒԹՅԱՆ ԿԱՌՈՒՑՎԱԾՔԸ ԵՎ ԿՐԹԱԴԱՍՏԻԱՐԱԿՉԱԿԱՆ ԳՈՐԾՈՒՆԵՈՒԹՅՈՒՆԸ</w:t>
      </w:r>
    </w:p>
    <w:p w14:paraId="347DC836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58768B72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20.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կրթադաստիարակչական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կողմից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երաշխավորված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թվում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այլընտրանքային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փորձարարական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6D0675C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21.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ծրագրով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մակարդակը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բովանդակային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բաղադրիչների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միջոցով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որոնք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ըստ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տարիքային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խմբերի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յուրաքանչյուր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առանձնահատկությունների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առանձնահատուկ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կարիքի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գիտելիքների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կարողությունների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հմտությունների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ձևավորմամբ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տարիքի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առանձնահատկություններին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ոլորտներին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ուղղություններին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41A1130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22.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Հանրապետությունում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կրթությունն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գրական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հայերենով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՝ «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Լեզվի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օրենքի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պահանջներին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բացառությամբ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«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օրենքի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4-րդ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հոդվածի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6-րդ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մասով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դեպքերի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7120CF8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23.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ազգային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փոքրամասնությունների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կազմակերպվել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իրենց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մայրենի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ազգային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լեզվով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հայերենի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պարտադիր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ուսուցմամբ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A885838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24.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ընդունելությունը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անկախ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կազմակերպական-իրավական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ձևից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ծնողի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ներկայացուցչի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ծնողի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ներկայացուցչի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միջև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կնքված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պայմանագրի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BAD12D0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25.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ծնողի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ներկայացուցչի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միջև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կնքվող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պայմանագրի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օրինակելի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ձևը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9B7B7CA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26.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խմբերի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առավելագույն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խտությունը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8128E88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27.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սկսվում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սեպտեմբերի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1-ից: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Տարիքային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խմբերում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հարմարվողականության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փուլի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առանձնահատկությունները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յուրացման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ժամկետները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շաբաթական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պարապմունքների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բաշխման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ցանկը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օրինակելի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ռեժիմները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բաց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թողած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ծրագրային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ծավալը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լրացնելու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AF2E28D" w14:textId="4810D306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 xml:space="preserve">28.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Տարիքային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խմբերի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տեղափոխումն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տարիքային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խմբեր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կատարվում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յուրաքանչյուր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օգոստոսի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20-ից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36026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սեպտեմբերի</w:t>
      </w:r>
      <w:proofErr w:type="spellEnd"/>
      <w:r w:rsidR="00D36026" w:rsidRPr="00D3602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D36026" w:rsidRPr="008B7D13">
        <w:rPr>
          <w:rFonts w:ascii="GHEA Grapalat" w:eastAsia="Times New Roman" w:hAnsi="GHEA Grapalat" w:cs="Times New Roman"/>
          <w:color w:val="000000"/>
          <w:sz w:val="24"/>
          <w:szCs w:val="24"/>
        </w:rPr>
        <w:t>5</w:t>
      </w: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Ազատ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տեղերը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համալրվում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ամբողջ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2EA31AF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29.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ձևավորվել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տարատարիք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տարբեր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յուրացնող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խմբեր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կարգի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D80E715" w14:textId="3AC17F8F" w:rsidR="00127EF9" w:rsidRPr="008B7D13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30.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հաստատություններն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ըստ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տեսակ</w:t>
      </w:r>
      <w:proofErr w:type="spellEnd"/>
      <w:r w:rsidR="008B7D1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ի</w:t>
      </w:r>
      <w:r w:rsidR="008B7D13" w:rsidRPr="008B7D1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B7D1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մանկապարտեզ</w:t>
      </w:r>
      <w:proofErr w:type="spellEnd"/>
      <w:r w:rsidR="008B7D13" w:rsidRPr="008B7D1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8B7D1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է՝</w:t>
      </w:r>
      <w:r w:rsidR="008B7D13" w:rsidRPr="008B7D1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3-6 </w:t>
      </w:r>
      <w:proofErr w:type="spellStart"/>
      <w:r w:rsidR="008B7D1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տարեկան</w:t>
      </w:r>
      <w:proofErr w:type="spellEnd"/>
      <w:r w:rsidR="008B7D13" w:rsidRPr="00F1436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B7D1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երեխաների</w:t>
      </w:r>
      <w:proofErr w:type="spellEnd"/>
      <w:r w:rsidR="008B7D13" w:rsidRPr="00F1436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B7D1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համար</w:t>
      </w:r>
      <w:proofErr w:type="spellEnd"/>
    </w:p>
    <w:p w14:paraId="6DEA4FB7" w14:textId="00F1A600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51010B14" w14:textId="78B7E676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5D07E058" w14:textId="6FD68B3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31.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ռեժիմը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մնալու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տևողությունը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2366A43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32.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առանձին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խմբերի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ցերեկային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երեկոյան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ժամերին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շուրջօրյա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հանգստյան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տոնական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ինչպես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նաև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ազատ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հաճախումը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C973B18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33.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սննդի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առողջապահության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բնագավառի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ներքին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իրավական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նորմերի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օրինակելի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սննդակազմի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60C2EEBE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34.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բժշկական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սպասարկումն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հաստիքային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բժշկական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անձնակազմի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միջոցով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տնօրինության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պատասխանատվություն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առողջության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ֆիզիկական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բուժկանխարգելիչ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միջոցառումների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անցկացման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սանիտարահիգիենիկ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նորմերի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ռեժիմի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սննդի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որակի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14DE5DC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35.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սպասարկող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անձնակազմերը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հաշվին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ընդունվելիս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հետագայում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անգամ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ենթարկվում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բժշկական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զննության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47805E9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19CBC6A5" w14:textId="6183E033" w:rsidR="007F468A" w:rsidRDefault="007F468A" w:rsidP="007F468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ԳԼՈՒԽ </w:t>
      </w:r>
      <w:r w:rsidR="00127EF9" w:rsidRPr="00373CB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4</w:t>
      </w:r>
    </w:p>
    <w:p w14:paraId="5B877F14" w14:textId="02412F9A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ԿՐԹԱԴԱՍՏԻԱՐԱԿՉԱԿԱՆ ԳՈՐԾԸՆԹԱՑԻ ՄԱՍՆԱԿԻՑՆԵՐԸ</w:t>
      </w:r>
    </w:p>
    <w:p w14:paraId="78230E62" w14:textId="2BCC8E82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73EBC9EC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36.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կրթադաստիարակչական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մասնակիցներն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14:paraId="37AE5A8C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տարիքի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երեխան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36D4716B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ծնողը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ներկայացուցիչը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).</w:t>
      </w:r>
    </w:p>
    <w:p w14:paraId="0F0FF76E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մեթոդիստը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գծով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տեղակալը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օգնականը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լոգոպեդը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հոգեբանը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սոցիալական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ֆիզիկական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կուլտուրայի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գծով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հրահանգիչը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բուժաշխատողը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խմբակի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ղեկավարը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մասնագետներ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7293FD77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 xml:space="preserve">37.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ընդունելության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ժամանակ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տնօրինությունը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պարտավոր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ծնողներին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ներկայացուցիչներին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ծանոթացնել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որոնք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կանոնակարգում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26FBB83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38.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ծնողների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փոխհարաբերությունները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կարգավորվում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նրանց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միջև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կնքված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պայմանագրով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03795F0B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39.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աշխատակիցների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փոխհարաբերությունները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կառուցվում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համագործակցության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անհատականության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հանդեպ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հարգանքի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23FE34A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40.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անձինք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որոնց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որակավորումն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ստաժը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տարիֆաորակավորման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բնութագրերին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7FF73DC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41.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աշխատողների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իրավունքներն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պարտականությունները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աշխատաժամանակի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տևողությունը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կարգավորվում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օրենքներով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իրավական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ակտերով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պայմանագրով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E0CA0EE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2BB44EE" w14:textId="6E3BABF8" w:rsidR="007F468A" w:rsidRDefault="007F468A" w:rsidP="007F468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ԳԼՈՒԽ </w:t>
      </w:r>
      <w:r w:rsidR="00127EF9" w:rsidRPr="00373CB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5</w:t>
      </w:r>
    </w:p>
    <w:p w14:paraId="3586946B" w14:textId="5094ACF0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ՀԱՍՏԱՏՈՒԹՅԱՆ ԿԱՌԱՎԱՐՈՒՄԸ</w:t>
      </w:r>
    </w:p>
    <w:p w14:paraId="06F88B11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7FBB584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42.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կառավարումն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նրա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գործադիր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այսուհետ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տնօրեն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):</w:t>
      </w:r>
    </w:p>
    <w:p w14:paraId="5E6F2E1E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43.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ցանկացած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հարց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վերջնական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լուծելու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բացառությամբ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օրենքով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դեպքերի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A491255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44.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բացառիկ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լիազորություններն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14:paraId="10513421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16498306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հանձնվող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ամրացվող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1D343707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դրանում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փոփոխությունների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կատարումը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72FC3B5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E73F17C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վերակազմակերպումը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լուծարումը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41041044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լուծարման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հանձնաժողովի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ստեղծումը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լուծարման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հաշվեկշռի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3F0E209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հարցերի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լուծումը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B1C4B3C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45.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14:paraId="677F2013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 xml:space="preserve">1)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ընդհանուր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նրա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բնականոն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պատասխանատվություն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դրանց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չկատարման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պատշաճ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կատարման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12FE6C98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վերահսկողություն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նկատմամբ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4598C814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կասեցնում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ուժը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կորցրած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ճանաչում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պահանջներին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հակասող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հրամանները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հրահանգները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կարգադրություններն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ցուցումները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11407E56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կառուցվածքն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կառուցվածքային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ստորաբաժանումների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իրավասությունները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23B5F43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լսում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հաշվետվությունները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քննում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դրա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վերստուգման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արդյունքները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AC28C1E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վերահսկողություն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ամրացված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նկատմամբ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448641A0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դեպքերում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համաձայնություն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տալիս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օտարման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հանձնման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D907216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8)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տարեկան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հաշվետվությունները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տարեկան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հաշվեկշիռը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975A376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9)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գործառույթներ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10CCE3F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46.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ուսումնադաստիարակչական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արդյունավետ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խորհրդակցական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ծնողական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խորհուրդներ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ձևավորվել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նաև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խորհրդակցական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հոգաբարձուների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շրջանավարտների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350FB56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47.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խորհուրդը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կազմավորվում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համակազմի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օգոստոսյան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նիստում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խորհուրդը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հրամանով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ժամկետով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անվանական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գրանցվում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արձանագրությունների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մատյանում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4C6F1C7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48.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ընդգրկվում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բոլոր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աշխատողները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F362979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49.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ընթացիկ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ղեկավարումը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օրենքներով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վերապահված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սահմաններում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ղեկավարում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պատասխանատվություն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օրենքների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իրավական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ակտերի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կնքված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պայմանագրերի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չկատարելու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պատշաճ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կատարելու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BE1DA0D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50.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14:paraId="22770F6C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 xml:space="preserve">1)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առանց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լիազորագրի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հանդես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գալիս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անունից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նրա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շահերը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կնքում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գործարքներ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4C976EE3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նախագահում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նիստերը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885CD55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տնօրինում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գույքը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թվում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0233208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տալիս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անունից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հանդես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գալու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լիազորագրեր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թվում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վերալիազորման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լիազորագրեր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11435C4A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նշանակում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ազատում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աշխատողներին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նրանց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նկատմամբ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կիրառում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խրախուսման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նշանակում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կարգապահական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տույժեր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0382E44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բանկերում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բացում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հաշվարկային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հաշիվներ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653C70F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օրենքով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սահմաններում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արձակում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հրամաններ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հրահանգներ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տալիս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պարտադիր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կատարման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ցուցումներ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վերահսկում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դրանց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կատարումը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37087AEB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8)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պաշտոնների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անվանացանկի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պաշտոնի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նկարագրի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անցկացնում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թափուր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տեղի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մրցույթը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կադրերի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ընտրությունը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կնքում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լուծում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պայմանագրերը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բաշխում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B60557F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9)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վերահսկողություն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աշխատողների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կողմից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իրենց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պարտականությունների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կատարման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նկատմամբ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19BCD7F5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10)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ներքին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կարգապահության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կանոնների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պաշտպանության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անվտանգության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տեխնիկայի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CB59E47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11)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հաստիքային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ցուցակն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ծախսերի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նախահաշիվը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դրանք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հաստատմանը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E86068C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12)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լիազորություններ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6B61355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13)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չափորոշչին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տարիքային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խմբի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ուսումնադաստիարակչական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առողջության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21081FE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51.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բացակայության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գրավոր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հրամանի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նրա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լիազորություններն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մեթոդիստը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գծով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տեղակալը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իսկ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անհնարինության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5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փորձ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ունեցող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մասնագետը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6E57A624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52.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Մեթոդիստը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գծով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տեղակալը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)՝</w:t>
      </w:r>
      <w:proofErr w:type="gramEnd"/>
    </w:p>
    <w:p w14:paraId="338DAE1D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կրթադաստիարակչական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մեթոդական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ղեկավարումը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D5D4BE6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վերահսկում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կատարումը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F35ADB0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 xml:space="preserve">3)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կրթադաստիարակչական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որակի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295531CC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մեթոդկաբինետի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4464386D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դաստիարակներին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մշտապես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հաղորդակից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դարձնում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գիտությունների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նորույթներին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3D574DB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տարիքային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առանձնահատկությունների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վերաբերյալ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իրազեկման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մասնագիտական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ծնողների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շրջանում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EF0C56F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53.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14:paraId="35D2FEEE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պատասխանատվություն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կյանքի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առողջության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A8AAE80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համակողմանի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ինչպես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նաև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ստեղծագործական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երևակայության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35554DA0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մշտապես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համագործակցում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ընտանիքի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անհատական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խորհրդատվությունների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ծնողական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ժողովների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այցերի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միջոցով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ծնողների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շրջանում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48FC6F9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54.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Երաժշտական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ղեկավարը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երաժշտության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)՝</w:t>
      </w:r>
      <w:proofErr w:type="gramEnd"/>
    </w:p>
    <w:p w14:paraId="3AD0FBC0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ծրագրին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համատեղ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երաժշտական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E56BE8D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ծնողների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շրջանում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խորհրդատվություն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երաժշտական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գեղագիտական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հարցերի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շուրջ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0D92434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55.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Տնտեսական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մասի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վարիչը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տնտեսական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գծով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օգնականը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)՝</w:t>
      </w:r>
      <w:proofErr w:type="gramEnd"/>
    </w:p>
    <w:p w14:paraId="054EB7D6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տնտեսական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սպասարկումը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մթերքի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սարքավորումների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ստացումն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37EF3128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մասնակցում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ճաշացուցակի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սննդամթերքի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պահանջագիր-հայտերի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կազմմանը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E3DB002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հետևում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տեղամասի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շենքի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սարքավորումների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վիճակին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ձեռնարկում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դրանք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ժամանակին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վերանորոգելու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4F962CD2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սպասարկող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անձնակազմի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կատարողական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կարգապահության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F4243F0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19687508" w14:textId="7D08AAFD" w:rsidR="007F468A" w:rsidRDefault="007F468A" w:rsidP="007F468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ԳԼՈՒԽ </w:t>
      </w:r>
      <w:r w:rsidR="00127EF9" w:rsidRPr="00373CB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6</w:t>
      </w:r>
    </w:p>
    <w:p w14:paraId="3C352B40" w14:textId="32C3B7A1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ՀԱՍՏԱՏՈՒԹՅԱՆ ԳՈՒՅՔԸ ԵՎ ՖԻՆԱՆՍԱՏՆՏԵՍԱԿԱՆ ԳՈՐԾՈՒՆԵՈՒԹՅՈՒՆԸ</w:t>
      </w:r>
    </w:p>
    <w:p w14:paraId="5EC900A7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02AEEAB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56.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ժամանակ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հետագայում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կողմից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իրավունքով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նրան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հանձնվող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ինչպես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նաև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ձեռք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բերված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գույքից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A12F474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57.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օրենքին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որոշումներին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հայեցողությամբ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տիրապետելու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տնօրինելու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օգտագործելու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պատկանող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գույքը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438FA47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58.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պատկանող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նկատմամբ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չունի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իրավունքներ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բացառությամբ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լուծարումից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մնացած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8E66476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59.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հոգսը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9A8E7A5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60.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տարածվել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բռնագանձում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միայն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դատական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FCB8A8B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61.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վերցնելու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կողմից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ամրացված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գույքը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E8EDC05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62.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չունի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ամրացված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գույքը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դրա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նկատմամբ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իրավունքներն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օտարելու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գրավ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դնելու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անհատույց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հանձնելու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99BB0D0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63.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սեփականություն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համարվող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շենքերը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օտարվել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միայն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բացառիկ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դեպքերում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4DB0549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64.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hաստատությունն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ամրացված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գույքը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անունից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հանձնելու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2020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թվականի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հունիսի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4-ի N 914-Ն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հանձնված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վճարներից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ստացված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դրամական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ուղղվում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բյուջե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166A6BF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65.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նախարարությունը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անհատույց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ամրացված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վարձակալությունից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մուտքագրված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20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տոկոսը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տվյալ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բյուջետային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վերջում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բյուջեով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պահուստային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ֆոնդից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ներկայացմամբ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որպես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իրենց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գործառույթների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լրացուցիչ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հատկացում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կառավարումն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մարմնին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փոխանցելու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A17D670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66.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գույքը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հանձնվել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միայն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ավագանու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F8A537E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67.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վարձակալումից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ստացված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եկամուտը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հանդիսանում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օգտագործվել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միայն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գործառույթների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8B1C338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 xml:space="preserve">68.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լուծարման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նրա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տնօրինման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կարգը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որոշում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69B08E4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69.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տնօրինում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4B112F5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70.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ֆինանսավորում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գոյանում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հատկացումներից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չարգելված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լրացուցիչ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աղբյուրներից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08310BDC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71.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բյուջեից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հաշվարկով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ֆինանսավորման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կարգը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թվում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առանձնահատուկ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ֆինանսավորման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բարձրացված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չափաքանակը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CA0BC01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72.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ֆինանսավորման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լրացուցիչ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աղբյուրներն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14:paraId="1D595E56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ձեռնարկատիրական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իրականացումից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գոյացած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0884D945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բարեգործական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նպատակային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ներդրումները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վարձավճարները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օտարերկրյա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նվիրատվությունները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B8FDF3D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չարգելված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խնդիրներին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չհակասող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գործունեությունից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ստացված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097429B0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73.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տարեկան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ֆինանսական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հաշվետվությունների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հավաստիությունը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ենթակա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աուդիտի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վերստուգման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)՝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48700899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14E50351" w14:textId="68377656" w:rsidR="007F468A" w:rsidRDefault="007F468A" w:rsidP="007F468A">
      <w:pPr>
        <w:shd w:val="clear" w:color="auto" w:fill="FFFFFF"/>
        <w:tabs>
          <w:tab w:val="left" w:pos="4605"/>
          <w:tab w:val="center" w:pos="4867"/>
        </w:tabs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ab/>
        <w:t xml:space="preserve">ԳԼՈՒԽ </w:t>
      </w:r>
      <w:r w:rsidR="00127EF9" w:rsidRPr="00373CB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7 </w:t>
      </w:r>
    </w:p>
    <w:p w14:paraId="0D06B040" w14:textId="753532A6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ՀԱՍՏԱՏՈՒԹՅԱՆ ՎԵՐԱԿԱԶՄԱԿԵՐՊՈՒՄԸ ԵՎ ԼՈՒԾԱՐՈՒՄԸ</w:t>
      </w:r>
    </w:p>
    <w:p w14:paraId="54A4327C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A319178" w14:textId="77777777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74.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վերակազմակերպվում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լուծարվում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373CB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FFC76B3" w14:textId="5A10387E" w:rsidR="00127EF9" w:rsidRPr="00373CB6" w:rsidRDefault="00127EF9" w:rsidP="007F468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73CB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5A8C868E" w14:textId="77777777" w:rsidR="00125B5D" w:rsidRPr="00373CB6" w:rsidRDefault="00125B5D" w:rsidP="007F468A">
      <w:pPr>
        <w:jc w:val="both"/>
        <w:rPr>
          <w:rFonts w:ascii="GHEA Grapalat" w:hAnsi="GHEA Grapalat"/>
          <w:sz w:val="24"/>
          <w:szCs w:val="24"/>
        </w:rPr>
      </w:pPr>
    </w:p>
    <w:sectPr w:rsidR="00125B5D" w:rsidRPr="00373C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174BA" w14:textId="77777777" w:rsidR="00557C51" w:rsidRDefault="00557C51" w:rsidP="008B7D13">
      <w:pPr>
        <w:spacing w:after="0" w:line="240" w:lineRule="auto"/>
      </w:pPr>
      <w:r>
        <w:separator/>
      </w:r>
    </w:p>
  </w:endnote>
  <w:endnote w:type="continuationSeparator" w:id="0">
    <w:p w14:paraId="0671012F" w14:textId="77777777" w:rsidR="00557C51" w:rsidRDefault="00557C51" w:rsidP="008B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DD69D" w14:textId="77777777" w:rsidR="00557C51" w:rsidRDefault="00557C51" w:rsidP="008B7D13">
      <w:pPr>
        <w:spacing w:after="0" w:line="240" w:lineRule="auto"/>
      </w:pPr>
      <w:r>
        <w:separator/>
      </w:r>
    </w:p>
  </w:footnote>
  <w:footnote w:type="continuationSeparator" w:id="0">
    <w:p w14:paraId="7D5C871F" w14:textId="77777777" w:rsidR="00557C51" w:rsidRDefault="00557C51" w:rsidP="008B7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5D"/>
    <w:rsid w:val="0012305E"/>
    <w:rsid w:val="00125B5D"/>
    <w:rsid w:val="00127EF9"/>
    <w:rsid w:val="0018505D"/>
    <w:rsid w:val="002D5933"/>
    <w:rsid w:val="00310D53"/>
    <w:rsid w:val="0032344E"/>
    <w:rsid w:val="00373CB6"/>
    <w:rsid w:val="0043002D"/>
    <w:rsid w:val="004744AD"/>
    <w:rsid w:val="00512D7B"/>
    <w:rsid w:val="005421B4"/>
    <w:rsid w:val="00557C51"/>
    <w:rsid w:val="007F468A"/>
    <w:rsid w:val="0081398A"/>
    <w:rsid w:val="0086043D"/>
    <w:rsid w:val="008B1F03"/>
    <w:rsid w:val="008B7D13"/>
    <w:rsid w:val="00925947"/>
    <w:rsid w:val="0097539B"/>
    <w:rsid w:val="0099673F"/>
    <w:rsid w:val="009F77B7"/>
    <w:rsid w:val="00A60772"/>
    <w:rsid w:val="00AF0BDC"/>
    <w:rsid w:val="00AF5377"/>
    <w:rsid w:val="00B2031B"/>
    <w:rsid w:val="00D36026"/>
    <w:rsid w:val="00D433BD"/>
    <w:rsid w:val="00D46208"/>
    <w:rsid w:val="00DB4736"/>
    <w:rsid w:val="00E866E3"/>
    <w:rsid w:val="00F1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5D53"/>
  <w15:chartTrackingRefBased/>
  <w15:docId w15:val="{014E5D6A-1E58-413B-B9E3-6DAC3C9C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D13"/>
  </w:style>
  <w:style w:type="paragraph" w:styleId="a5">
    <w:name w:val="footer"/>
    <w:basedOn w:val="a"/>
    <w:link w:val="a6"/>
    <w:uiPriority w:val="99"/>
    <w:unhideWhenUsed/>
    <w:rsid w:val="008B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9AAF6-1A3B-4886-82F0-2267E9B5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2021-07-29T10:02:00Z</dcterms:created>
  <dcterms:modified xsi:type="dcterms:W3CDTF">2023-12-12T13:08:00Z</dcterms:modified>
</cp:coreProperties>
</file>