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</w:pPr>
      <w:r w:rsidRPr="00D0225A"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  <w:t>ՀԱՅԱՍՏԱՆԻ ՀԱՆՐԱՊԵՏՈՒԹՅԱՆ</w:t>
      </w:r>
    </w:p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</w:pPr>
      <w:r w:rsidRPr="00D0225A"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  <w:t xml:space="preserve"> ՇԻՐԱԿԻ ՄԱՐԶԻ </w:t>
      </w:r>
    </w:p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</w:pPr>
      <w:r w:rsidRPr="00D0225A"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  <w:t>ԱԽՈՒՐՅԱՆ  ՀԱՄԱՅՆՔԻ ՂԵԿԱՎԱՐԻ</w:t>
      </w:r>
    </w:p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</w:pPr>
      <w:r w:rsidRPr="00D0225A"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  <w:t xml:space="preserve"> </w:t>
      </w:r>
    </w:p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bCs/>
          <w:noProof/>
          <w:spacing w:val="-13"/>
          <w:sz w:val="56"/>
          <w:szCs w:val="56"/>
          <w:lang w:val="hy-AM"/>
        </w:rPr>
      </w:pPr>
    </w:p>
    <w:p w:rsidR="00D0225A" w:rsidRPr="00D0225A" w:rsidRDefault="00D0225A" w:rsidP="00D0225A">
      <w:pPr>
        <w:shd w:val="clear" w:color="auto" w:fill="FFFFFF"/>
        <w:ind w:left="1627" w:hanging="1627"/>
        <w:jc w:val="center"/>
        <w:rPr>
          <w:rFonts w:ascii="GHEA Grapalat" w:hAnsi="GHEA Grapalat"/>
          <w:b/>
          <w:sz w:val="56"/>
          <w:szCs w:val="56"/>
          <w:lang w:val="hy-AM"/>
        </w:rPr>
      </w:pPr>
      <w:r w:rsidRPr="00D0225A">
        <w:rPr>
          <w:rFonts w:ascii="GHEA Grapalat" w:hAnsi="GHEA Grapalat"/>
          <w:b/>
          <w:bCs/>
          <w:noProof/>
          <w:sz w:val="56"/>
          <w:szCs w:val="56"/>
          <w:lang w:val="hy-AM"/>
        </w:rPr>
        <w:t xml:space="preserve">2022 </w:t>
      </w:r>
      <w:r w:rsidRPr="00D0225A">
        <w:rPr>
          <w:rFonts w:ascii="GHEA Grapalat" w:hAnsi="GHEA Grapalat" w:cs="Sylfaen"/>
          <w:b/>
          <w:bCs/>
          <w:noProof/>
          <w:sz w:val="56"/>
          <w:szCs w:val="56"/>
          <w:lang w:val="hy-AM"/>
        </w:rPr>
        <w:t>ԹՎԱԿԱՆԻ</w:t>
      </w:r>
      <w:r w:rsidRPr="00D0225A">
        <w:rPr>
          <w:rFonts w:ascii="GHEA Grapalat" w:hAnsi="GHEA Grapalat"/>
          <w:b/>
          <w:bCs/>
          <w:noProof/>
          <w:sz w:val="56"/>
          <w:szCs w:val="56"/>
          <w:lang w:val="hy-AM"/>
        </w:rPr>
        <w:t xml:space="preserve"> </w:t>
      </w:r>
      <w:r w:rsidRPr="00D0225A">
        <w:rPr>
          <w:rFonts w:ascii="GHEA Grapalat" w:hAnsi="GHEA Grapalat" w:cs="Sylfaen"/>
          <w:b/>
          <w:bCs/>
          <w:noProof/>
          <w:spacing w:val="-6"/>
          <w:sz w:val="56"/>
          <w:szCs w:val="56"/>
          <w:lang w:val="hy-AM"/>
        </w:rPr>
        <w:t>ԲՅՈՒՋԵՏԱՅԻՆ</w:t>
      </w:r>
    </w:p>
    <w:p w:rsidR="00D0225A" w:rsidRPr="00D0225A" w:rsidRDefault="00D0225A" w:rsidP="00D0225A">
      <w:pPr>
        <w:shd w:val="clear" w:color="auto" w:fill="FFFFFF"/>
        <w:spacing w:before="346"/>
        <w:ind w:left="715"/>
        <w:jc w:val="center"/>
        <w:rPr>
          <w:rFonts w:ascii="GHEA Grapalat" w:hAnsi="GHEA Grapalat"/>
          <w:sz w:val="96"/>
          <w:szCs w:val="96"/>
          <w:lang w:val="hy-AM"/>
        </w:rPr>
      </w:pPr>
      <w:r w:rsidRPr="00D0225A">
        <w:rPr>
          <w:rFonts w:ascii="GHEA Grapalat" w:hAnsi="GHEA Grapalat" w:cs="Sylfaen"/>
          <w:b/>
          <w:bCs/>
          <w:noProof/>
          <w:sz w:val="96"/>
          <w:szCs w:val="96"/>
          <w:lang w:val="hy-AM"/>
        </w:rPr>
        <w:t>ՈՒ</w:t>
      </w:r>
      <w:r w:rsidRPr="00D0225A">
        <w:rPr>
          <w:rFonts w:ascii="GHEA Grapalat" w:hAnsi="GHEA Grapalat"/>
          <w:b/>
          <w:bCs/>
          <w:noProof/>
          <w:sz w:val="96"/>
          <w:szCs w:val="96"/>
          <w:lang w:val="hy-AM"/>
        </w:rPr>
        <w:t xml:space="preserve"> </w:t>
      </w:r>
      <w:r w:rsidRPr="00D0225A">
        <w:rPr>
          <w:rFonts w:ascii="GHEA Grapalat" w:hAnsi="GHEA Grapalat" w:cs="Sylfaen"/>
          <w:b/>
          <w:bCs/>
          <w:noProof/>
          <w:sz w:val="96"/>
          <w:szCs w:val="96"/>
          <w:lang w:val="hy-AM"/>
        </w:rPr>
        <w:t>Ղ</w:t>
      </w:r>
      <w:r w:rsidRPr="00D0225A">
        <w:rPr>
          <w:rFonts w:ascii="GHEA Grapalat" w:hAnsi="GHEA Grapalat"/>
          <w:b/>
          <w:bCs/>
          <w:noProof/>
          <w:sz w:val="96"/>
          <w:szCs w:val="96"/>
          <w:lang w:val="hy-AM"/>
        </w:rPr>
        <w:t xml:space="preserve"> </w:t>
      </w:r>
      <w:r w:rsidRPr="00D0225A">
        <w:rPr>
          <w:rFonts w:ascii="GHEA Grapalat" w:hAnsi="GHEA Grapalat" w:cs="Sylfaen"/>
          <w:b/>
          <w:bCs/>
          <w:noProof/>
          <w:sz w:val="96"/>
          <w:szCs w:val="96"/>
          <w:lang w:val="hy-AM"/>
        </w:rPr>
        <w:t>Ե</w:t>
      </w:r>
      <w:r w:rsidRPr="00D0225A">
        <w:rPr>
          <w:rFonts w:ascii="GHEA Grapalat" w:hAnsi="GHEA Grapalat"/>
          <w:b/>
          <w:bCs/>
          <w:noProof/>
          <w:sz w:val="96"/>
          <w:szCs w:val="96"/>
          <w:lang w:val="hy-AM"/>
        </w:rPr>
        <w:t xml:space="preserve"> </w:t>
      </w:r>
      <w:r w:rsidRPr="00D0225A">
        <w:rPr>
          <w:rFonts w:ascii="GHEA Grapalat" w:hAnsi="GHEA Grapalat" w:cs="Sylfaen"/>
          <w:b/>
          <w:bCs/>
          <w:noProof/>
          <w:sz w:val="96"/>
          <w:szCs w:val="96"/>
          <w:lang w:val="hy-AM"/>
        </w:rPr>
        <w:t>Ր</w:t>
      </w:r>
      <w:r w:rsidRPr="00D0225A">
        <w:rPr>
          <w:rFonts w:ascii="GHEA Grapalat" w:hAnsi="GHEA Grapalat"/>
          <w:b/>
          <w:bCs/>
          <w:noProof/>
          <w:sz w:val="96"/>
          <w:szCs w:val="96"/>
          <w:lang w:val="hy-AM"/>
        </w:rPr>
        <w:t xml:space="preserve"> </w:t>
      </w:r>
      <w:r w:rsidRPr="00D0225A">
        <w:rPr>
          <w:rFonts w:ascii="GHEA Grapalat" w:hAnsi="GHEA Grapalat" w:cs="Sylfaen"/>
          <w:b/>
          <w:bCs/>
          <w:noProof/>
          <w:sz w:val="96"/>
          <w:szCs w:val="96"/>
          <w:lang w:val="hy-AM"/>
        </w:rPr>
        <w:t>Ձ</w:t>
      </w:r>
    </w:p>
    <w:p w:rsidR="00D0225A" w:rsidRPr="00D0225A" w:rsidRDefault="00D0225A" w:rsidP="00D0225A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0225A" w:rsidRPr="00D0225A" w:rsidRDefault="00D0225A" w:rsidP="00D0225A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0225A" w:rsidRPr="00D0225A" w:rsidRDefault="00D0225A" w:rsidP="00D0225A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0225A" w:rsidRPr="00D0225A" w:rsidRDefault="00D0225A" w:rsidP="00D0225A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0225A" w:rsidRPr="00D0225A" w:rsidRDefault="00D0225A" w:rsidP="00D0225A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0225A" w:rsidRPr="00D0225A" w:rsidRDefault="00D0225A" w:rsidP="00D0225A">
      <w:pPr>
        <w:spacing w:line="2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pt-BR"/>
        </w:rPr>
      </w:pP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Հաստատվել</w:t>
      </w:r>
      <w:r w:rsidRPr="00D0225A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է</w:t>
      </w:r>
      <w:r w:rsidRPr="00D0225A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` 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ավագանու</w:t>
      </w:r>
      <w:r w:rsidRPr="00D0225A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2022 թվականի          -ի 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թիվ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   ---   </w:t>
      </w:r>
      <w:r w:rsidRPr="00D022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որոշմամբ</w:t>
      </w:r>
    </w:p>
    <w:p w:rsidR="006D4A2B" w:rsidRPr="00D0225A" w:rsidRDefault="006D4A2B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  <w:bookmarkStart w:id="0" w:name="_GoBack"/>
      <w:bookmarkEnd w:id="0"/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 w:rsidP="00D0225A">
      <w:pPr>
        <w:pStyle w:val="2"/>
        <w:numPr>
          <w:ilvl w:val="0"/>
          <w:numId w:val="2"/>
        </w:numPr>
        <w:tabs>
          <w:tab w:val="left" w:pos="360"/>
        </w:tabs>
        <w:ind w:left="0" w:firstLine="0"/>
        <w:rPr>
          <w:rFonts w:ascii="GHEA Grapalat" w:hAnsi="GHEA Grapalat" w:cs="Sylfaen"/>
          <w:b/>
          <w:color w:val="0D0D0D"/>
          <w:sz w:val="28"/>
          <w:lang w:val="hy-AM" w:eastAsia="x-none"/>
        </w:rPr>
      </w:pPr>
      <w:bookmarkStart w:id="1" w:name="_Toc444769774"/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ՀԱՄԱՅՆՔԻ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ՂԵԿԱՎԱՐԻ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ԶԵԿՈՒՅՑԸ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2022 ԹՎԱԿԱՆԻ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ԲՅՈՒՋԵՏԱՅԻՆ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ՏԱՐՎԱ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ՀԱՄԱՅՆՔԻ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ԶԱՐԳԱՑՄԱՆ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ՀԻՄՆԱԿԱՆ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ՈՒՂՂՈՒԹՅՈՒՆՆԵՐԻ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ՄԱՍԻՆ</w:t>
      </w:r>
      <w:bookmarkEnd w:id="1"/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</w:p>
    <w:p w:rsidR="00D0225A" w:rsidRPr="00D0225A" w:rsidRDefault="00D0225A" w:rsidP="00D0225A">
      <w:pPr>
        <w:rPr>
          <w:rFonts w:ascii="GHEA Grapalat" w:hAnsi="GHEA Grapalat"/>
          <w:color w:val="0D0D0D"/>
          <w:lang w:val="hy-AM"/>
        </w:rPr>
      </w:pP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ՀՀ Շիրակի մարզի Ախուրյան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2022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D0225A">
        <w:rPr>
          <w:rFonts w:ascii="MS Mincho" w:eastAsia="MS Mincho" w:hAnsi="MS Mincho" w:cs="MS Mincho" w:hint="eastAsia"/>
          <w:color w:val="0D0D0D"/>
          <w:sz w:val="24"/>
          <w:szCs w:val="24"/>
          <w:lang w:val="hy-AM"/>
        </w:rPr>
        <w:t>․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մշակվել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`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հիմք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ունենալով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Շիրակի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մարզի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Ախուրյանի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տարածաշրջանի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նախկին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տարիների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ինչպես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նաև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Ախուրյանի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Մարմաշեն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նախկին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2017 - 2022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թթ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.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հնգամյա 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ծրագրերը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գործունեությունը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մեծապես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կախված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բյուջետային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գործընթացի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լավ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կազմակերպումից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արդյունավետ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խնայողական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shd w:val="clear" w:color="auto" w:fill="FFFFFF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Ախուրյան համայնքի զարգացման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ուղղություններում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առաջնահերթ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գերակա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1"/>
          <w:sz w:val="24"/>
          <w:szCs w:val="24"/>
          <w:lang w:val="hy-AM"/>
        </w:rPr>
        <w:t>համարվելու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դեռևս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չիրականացված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 և նոր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ծրագրերը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որոնք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միտված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լինելու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տարածքային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համաչափ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կայուն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զարգացմանը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բարեկարգ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հարմարավետ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մատչելի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ձևավորման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շարունակականության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բնակչության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կենսական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շահերի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ապահովմանը։</w:t>
      </w: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Գալիք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բյուջետային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տարվա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են՝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Բարելավել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ֆինանսական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վիճակը՝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ճշտելով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հողի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հարկի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գույքահարկի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բազաները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սեփական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մատուցվող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ծառայությունների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որակը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կրթության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մշակույթի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սպորտի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բնագավառների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շահագործման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նորոգման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ջեռուցման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համակարգերի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վերականգնման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գույքային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վերազինման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այլ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աշխատանքներ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Կապիտալ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ներդրումներ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կատարել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բնակարանային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-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կոմունալ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բարեկարգման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ճանապարհային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և այլն բնագավառներում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Աշխուժացնել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մշակութային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մարզական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հասարակական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կյանքը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</w:rPr>
      </w:pP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Իրականացնել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սոցիալական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տարաբնույթ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ծրագրեր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>:</w:t>
      </w:r>
    </w:p>
    <w:p w:rsidR="00D0225A" w:rsidRPr="00D0225A" w:rsidRDefault="00D0225A" w:rsidP="00D0225A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t>Իրականացնել  արդյունավետ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թափանցիկ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t>կառավարում։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Խթանել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մասնակցային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կառավարման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մշակույթի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ձևավորմանը։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</w:t>
      </w:r>
    </w:p>
    <w:p w:rsidR="00D0225A" w:rsidRPr="00D0225A" w:rsidRDefault="00D0225A" w:rsidP="00D0225A">
      <w:pPr>
        <w:widowControl/>
        <w:autoSpaceDE/>
        <w:autoSpaceDN/>
        <w:adjustRightInd/>
        <w:ind w:left="114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2022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.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ուղղված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կենսական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ապահովմանը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շրջակա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հարմարավետ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բարեկեցիկ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ստեղծմանը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արդիականացմանն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lastRenderedPageBreak/>
        <w:t>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ինպես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գլխավոր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հատակագծին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համապատասխան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քաղաքաշինական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ծրագրերի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: </w:t>
      </w:r>
    </w:p>
    <w:p w:rsidR="00D0225A" w:rsidRPr="00D0225A" w:rsidRDefault="00D0225A" w:rsidP="00D0225A">
      <w:pPr>
        <w:pStyle w:val="a3"/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դիմում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ավագանուն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կազմակերպությունների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աշխատակիցներին՝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շահագրգիռ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մոտեցում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ցուցաբերելու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 2022 թվականի 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գոյացման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դրանց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նպատակային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կատարման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վերահսկման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ուղղությամբ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ind w:left="360"/>
        <w:rPr>
          <w:rFonts w:ascii="GHEA Grapalat" w:hAnsi="GHEA Grapalat"/>
          <w:color w:val="0D0D0D"/>
          <w:sz w:val="28"/>
          <w:lang w:val="hy-AM"/>
        </w:rPr>
      </w:pPr>
    </w:p>
    <w:p w:rsidR="00D0225A" w:rsidRPr="00D0225A" w:rsidRDefault="00D0225A" w:rsidP="00D0225A">
      <w:pPr>
        <w:ind w:left="360"/>
        <w:jc w:val="right"/>
        <w:rPr>
          <w:rFonts w:ascii="GHEA Grapalat" w:hAnsi="GHEA Grapalat"/>
          <w:i/>
          <w:color w:val="0D0D0D"/>
          <w:sz w:val="24"/>
          <w:szCs w:val="24"/>
          <w:lang w:val="en-US"/>
        </w:rPr>
      </w:pPr>
      <w:r w:rsidRPr="00D0225A">
        <w:rPr>
          <w:rFonts w:ascii="GHEA Grapalat" w:hAnsi="GHEA Grapalat" w:cs="Sylfaen"/>
          <w:i/>
          <w:color w:val="0D0D0D"/>
          <w:sz w:val="24"/>
          <w:szCs w:val="24"/>
        </w:rPr>
        <w:t>ՀԱՄԱՅՆՔԻ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 </w:t>
      </w:r>
      <w:r w:rsidRPr="00D0225A">
        <w:rPr>
          <w:rFonts w:ascii="GHEA Grapalat" w:hAnsi="GHEA Grapalat" w:cs="Sylfaen"/>
          <w:i/>
          <w:color w:val="0D0D0D"/>
          <w:sz w:val="24"/>
          <w:szCs w:val="24"/>
        </w:rPr>
        <w:t>ՂԵԿԱՎԱՐ՝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</w:t>
      </w:r>
      <w:r w:rsidRPr="00D0225A">
        <w:rPr>
          <w:rFonts w:ascii="GHEA Grapalat" w:hAnsi="GHEA Grapalat"/>
          <w:i/>
          <w:color w:val="0D0D0D"/>
          <w:sz w:val="24"/>
          <w:szCs w:val="24"/>
          <w:lang w:val="hy-AM"/>
        </w:rPr>
        <w:t xml:space="preserve">          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   </w:t>
      </w:r>
      <w:r w:rsidRPr="00D0225A">
        <w:rPr>
          <w:rFonts w:ascii="GHEA Grapalat" w:hAnsi="GHEA Grapalat"/>
          <w:i/>
          <w:color w:val="0D0D0D"/>
          <w:sz w:val="24"/>
          <w:szCs w:val="24"/>
          <w:lang w:val="en-US"/>
        </w:rPr>
        <w:t xml:space="preserve"> ԱՐԾՐՈՒՆԻ  ԻԳԻԹՅԱՆ</w:t>
      </w:r>
      <w:r w:rsidRPr="00D0225A">
        <w:rPr>
          <w:rFonts w:ascii="GHEA Grapalat" w:hAnsi="GHEA Grapalat" w:cs="Arial"/>
          <w:b/>
          <w:bCs/>
          <w:color w:val="0D0D0D"/>
          <w:sz w:val="28"/>
        </w:rPr>
        <w:br w:type="page"/>
      </w:r>
    </w:p>
    <w:sectPr w:rsidR="00D0225A" w:rsidRPr="00D022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72A"/>
    <w:multiLevelType w:val="hybridMultilevel"/>
    <w:tmpl w:val="C9CC2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C475F05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A"/>
    <w:rsid w:val="006D4A2B"/>
    <w:rsid w:val="00D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7CBB"/>
  <w15:chartTrackingRefBased/>
  <w15:docId w15:val="{C31A948A-FE88-4F99-9CBB-D8E2F8C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25A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LatArm" w:hAnsi="Times LatArm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5A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rFonts w:ascii="Times LatArm" w:hAnsi="Times LatArm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25A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rFonts w:ascii="Times LatArm" w:hAnsi="Times LatArm"/>
      <w:b/>
      <w:noProof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25A"/>
    <w:pPr>
      <w:keepNext/>
      <w:widowControl/>
      <w:numPr>
        <w:ilvl w:val="3"/>
        <w:numId w:val="1"/>
      </w:numPr>
      <w:autoSpaceDE/>
      <w:autoSpaceDN/>
      <w:adjustRightInd/>
      <w:jc w:val="center"/>
      <w:outlineLvl w:val="3"/>
    </w:pPr>
    <w:rPr>
      <w:rFonts w:ascii="Times LatArm" w:hAnsi="Times LatArm"/>
      <w:sz w:val="3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25A"/>
    <w:pPr>
      <w:keepNext/>
      <w:widowControl/>
      <w:numPr>
        <w:ilvl w:val="4"/>
        <w:numId w:val="1"/>
      </w:numPr>
      <w:autoSpaceDE/>
      <w:autoSpaceDN/>
      <w:adjustRightInd/>
      <w:jc w:val="center"/>
      <w:outlineLvl w:val="4"/>
    </w:pPr>
    <w:rPr>
      <w:rFonts w:ascii="Times LatArm" w:hAnsi="Times LatArm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25A"/>
    <w:pPr>
      <w:keepNext/>
      <w:widowControl/>
      <w:numPr>
        <w:ilvl w:val="5"/>
        <w:numId w:val="1"/>
      </w:numPr>
      <w:autoSpaceDE/>
      <w:autoSpaceDN/>
      <w:adjustRightInd/>
      <w:jc w:val="center"/>
      <w:outlineLvl w:val="5"/>
    </w:pPr>
    <w:rPr>
      <w:rFonts w:ascii="Times LatArm" w:hAnsi="Times LatArm"/>
      <w:b/>
      <w:sz w:val="24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25A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25A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25A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5A"/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5A"/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25A"/>
    <w:rPr>
      <w:rFonts w:ascii="Times LatArm" w:eastAsia="Times New Roman" w:hAnsi="Times LatArm" w:cs="Times New Roman"/>
      <w:b/>
      <w:noProof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225A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225A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225A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225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2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25A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unhideWhenUsed/>
    <w:rsid w:val="00D0225A"/>
    <w:pPr>
      <w:widowControl/>
      <w:autoSpaceDE/>
      <w:autoSpaceDN/>
      <w:adjustRightInd/>
      <w:ind w:firstLine="360"/>
    </w:pPr>
    <w:rPr>
      <w:rFonts w:ascii="Times LatArm" w:hAnsi="Times LatArm"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225A"/>
    <w:rPr>
      <w:rFonts w:ascii="Times LatArm" w:eastAsia="Times New Roman" w:hAnsi="Times LatArm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</cp:revision>
  <dcterms:created xsi:type="dcterms:W3CDTF">2022-01-20T07:12:00Z</dcterms:created>
  <dcterms:modified xsi:type="dcterms:W3CDTF">2022-01-20T07:13:00Z</dcterms:modified>
</cp:coreProperties>
</file>