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A4" w:rsidRPr="00F91181" w:rsidRDefault="006042B8" w:rsidP="006042B8">
      <w:pPr>
        <w:jc w:val="right"/>
        <w:rPr>
          <w:rFonts w:ascii="GHEA Grapalat" w:hAnsi="GHEA Grapalat"/>
          <w:lang w:val="hy-AM"/>
        </w:rPr>
      </w:pPr>
      <w:r w:rsidRPr="00F91181">
        <w:rPr>
          <w:rFonts w:ascii="GHEA Grapalat" w:hAnsi="GHEA Grapalat"/>
          <w:lang w:val="hy-AM"/>
        </w:rPr>
        <w:t>Հավելված</w:t>
      </w:r>
      <w:r w:rsidRPr="00F91181">
        <w:rPr>
          <w:rFonts w:ascii="GHEA Grapalat" w:hAnsi="GHEA Grapalat"/>
          <w:lang w:val="hy-AM"/>
        </w:rPr>
        <w:br/>
        <w:t>Հայաստանի Հանրապետության Շիրակի մարզի</w:t>
      </w:r>
      <w:r w:rsidRPr="00F91181">
        <w:rPr>
          <w:rFonts w:ascii="GHEA Grapalat" w:hAnsi="GHEA Grapalat"/>
          <w:lang w:val="hy-AM"/>
        </w:rPr>
        <w:br/>
        <w:t>Ախուրյան համայնքի ավագանու</w:t>
      </w:r>
      <w:r w:rsidRPr="00F91181">
        <w:rPr>
          <w:rFonts w:ascii="GHEA Grapalat" w:hAnsi="GHEA Grapalat"/>
          <w:lang w:val="hy-AM"/>
        </w:rPr>
        <w:br/>
        <w:t>2025 թվականի սեպտեմբերի 19-ի թիվ – Ա որոշման</w:t>
      </w:r>
    </w:p>
    <w:p w:rsidR="006042B8" w:rsidRDefault="006042B8" w:rsidP="006042B8">
      <w:pPr>
        <w:jc w:val="right"/>
        <w:rPr>
          <w:lang w:val="hy-AM"/>
        </w:rPr>
      </w:pPr>
    </w:p>
    <w:p w:rsidR="006042B8" w:rsidRDefault="006042B8" w:rsidP="006042B8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>ՕՐԱԿԱՐԳ</w:t>
      </w:r>
    </w:p>
    <w:p w:rsidR="006042B8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ութերորդ նստաշրջանի հերթական՝ յոթերորդ նիստի օրակարգը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( 163-Ա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2024թվականի նոյեմբերի 22-ի թիվ 253-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27-ի թիվ 86-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ուժը կորցրած ճանաչելու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164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8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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իկի երաժշտական դպրոց համայնքային ոչ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կազմակերպությունը անվանափոխելու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անվանակոչելու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կանոնադրությունը նոր խմբագրությամբ շարադրելու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254-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165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9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իրակի մարզի «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ացիկի միջնակարգ դպրոց» պետական ոչ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կազմակերպությանը գումար հատկացնելու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7257B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( </w:t>
      </w:r>
      <w:r w:rsidR="0077257B">
        <w:rPr>
          <w:rFonts w:ascii="GHEA Grapalat" w:hAnsi="GHEA Grapalat"/>
          <w:sz w:val="24"/>
          <w:szCs w:val="24"/>
          <w:lang w:val="hy-AM"/>
        </w:rPr>
        <w:t>166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0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դպրոցներ առաջին դասարան հաճախող երեխաներին նվերներ գնելու նպատակով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167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1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254-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168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2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2022 թվականի ապրիլի 26-ի թիվ 61-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ուժը կորցրած ճանաչելու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7257B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( </w:t>
      </w:r>
      <w:r w:rsidR="0077257B">
        <w:rPr>
          <w:rFonts w:ascii="GHEA Grapalat" w:hAnsi="GHEA Grapalat"/>
          <w:sz w:val="24"/>
          <w:szCs w:val="24"/>
          <w:lang w:val="hy-AM"/>
        </w:rPr>
        <w:t>169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="0077257B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3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կամավոր խնդիրները,դրանց լուծմանն ուղղված սեփական լիազորությունները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իրականացման կարգը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170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="0077257B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4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խուրիկ բնակավայրի բնակիչ 44 օրյա պատերազմում զոհվածի այրի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իանա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Յ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ուրիկի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հարոնյանի բնակելի տան տանիքին տեղադրված ֆոտովոլտային կայանի տեղադրման արժեքի 2025 թվականի առաջին կիսամյակի համար նախատեսված գումարից վճարում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171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5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յգաբաց բնակավայրի բնակիչներ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րթուր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ուրգենի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արդանյանին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որիս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ինասյանին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172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6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րտակարգ իրավիճակի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հետև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անքով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բնակիչ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իանա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մբատի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որգյանին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պատճառված վնասի մասնակի փոխհատուցման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3-Ա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7" w:history="1"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77257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թվով 13 բնակիչներին կառուցապատման իրավունքով տրամադրված համայնքային սեփականություն հանդիսացող հողամասերի պայմանագրերում փոփոխություն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77257B">
        <w:rPr>
          <w:rFonts w:ascii="GHEA Grapalat" w:hAnsi="GHEA Grapalat"/>
          <w:sz w:val="24"/>
          <w:szCs w:val="24"/>
          <w:lang w:val="hy-AM"/>
        </w:rPr>
        <w:t>174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8" w:history="1"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արմաշեն գյուղի բնակիչ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այկ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ապոլեոնի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Թաթև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ոսյանին սեփականության իրավունքով պատկանող </w:t>
        </w:r>
        <w:r w:rsidR="00F475C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հարկման օբյեկտ համարվող փոխադրամիջոցի գույքահարկի գծով արտոնություն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175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9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թվով 4 բնակիչներին սեփականության իրավունքով պատկանող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հարկման օբյեկտ համարվող փոխադրամիջոցների գույքահարկի գծով արտոնություն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176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0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իկ բնակավայրում «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 երազանքների ճամբարի» գործունեությունը կազմակերպելու նպատակով «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-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ան» հասարակական կազմակերպությանը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177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1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հանդիսացող թվով 2 շարժական գույքն աճուրդ-վաճառքի միջոցով օտարելու օտարման մեկնարկային գներն ու պայմանները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178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2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դեկտեմբերի 20-ի թիվ 304-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փոփոխությունններ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179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="00001A08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3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ղեկավարի հաղորդումը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2025 թվականի բյուջեի երկրորդ եռամսյակի կատարման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180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4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2026-2028 թվականների միջնաժամկետ ծախսերի ծրագիրը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181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5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անարպետության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ղեկավարի կողմից 2025 թվականի հուլիսի 1-ի դրությամբ կազմված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հողային հաշվեկշռին համաձայնություն տալու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182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6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համարվող չորս կտոր գյուղատնտեսական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ջրային նշանակության հողամասերը վարձակալության իրավունքով օգտագործման տրամադրելու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3-Ա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7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աջուռ բնակավայրի տարացքում գտնվող պահեստները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սպասարկման համար առանձնացված հողամասերը գյուղատնտեսական արտադրական գործունեություն իրականացնելու նպատակով մրցութային կարգով օգտագործման տրամադրելու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պայմանները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184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8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համարվող տասնմեկ կտոր գյուղատնտեսական նշանակության հողամասերը վարձակալության իրավունքով օգտագործման տրամադրելու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մրցույթի պայմաններն ու վարձավճարների մեկնարկային չափերը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185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Հ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Հ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Շ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Ա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խուրյան համայնքի սեփականությունը հանդիսացող (բնակավայր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Կ</w:t>
      </w:r>
      <w:r w:rsidRPr="0018279B">
        <w:rPr>
          <w:rFonts w:ascii="GHEA Grapalat" w:hAnsi="GHEA Grapalat"/>
          <w:sz w:val="24"/>
          <w:szCs w:val="24"/>
          <w:lang w:val="hy-AM"/>
        </w:rPr>
        <w:t>առնուտ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,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Հ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ովիտ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և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Ա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յգաբաց) արդյունաբերության ընդերքօգտագործման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և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այլ արտադրական նշանակության օբյեկտների նպատակային նշանակության ընդերքի օգտագործման համար տրամադրված հողամասերի գործառնական նշանակության 08-053-0124-0025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08-068-0101-0207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և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08-011-0122-0006 կադաստրային ծածկագրերով հողատարածքներում գտնվող 0,24817 հեկտար 0,89474 հեկտար </w:t>
      </w:r>
      <w:r w:rsidR="0018279B" w:rsidRPr="0018279B">
        <w:rPr>
          <w:rFonts w:ascii="GHEA Grapalat" w:hAnsi="GHEA Grapalat"/>
          <w:sz w:val="24"/>
          <w:szCs w:val="24"/>
          <w:lang w:val="hy-AM"/>
        </w:rPr>
        <w:t>և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 0,51146 հեկտար մակերեսներով հողամասերը անդեզիտաբազալտի արդյունահանում </w:t>
      </w:r>
      <w:r w:rsidRPr="0018279B">
        <w:rPr>
          <w:rFonts w:ascii="GHEA Grapalat" w:hAnsi="GHEA Grapalat"/>
          <w:sz w:val="24"/>
          <w:szCs w:val="24"/>
          <w:lang w:val="hy-AM"/>
        </w:rPr>
        <w:lastRenderedPageBreak/>
        <w:t>կազմակերպելու նպատակով «</w:t>
      </w:r>
      <w:r w:rsidR="0018279B">
        <w:rPr>
          <w:rFonts w:ascii="GHEA Grapalat" w:hAnsi="GHEA Grapalat"/>
          <w:sz w:val="24"/>
          <w:szCs w:val="24"/>
          <w:lang w:val="hy-AM"/>
        </w:rPr>
        <w:t>Մ</w:t>
      </w:r>
      <w:r w:rsidRPr="0018279B">
        <w:rPr>
          <w:rFonts w:ascii="GHEA Grapalat" w:hAnsi="GHEA Grapalat"/>
          <w:sz w:val="24"/>
          <w:szCs w:val="24"/>
          <w:lang w:val="hy-AM"/>
        </w:rPr>
        <w:t xml:space="preserve">երձմոսկովյան» բաց բաժնետիրական ընկերությանը վարձակալական հիմունքներով </w:t>
      </w:r>
      <w:r w:rsidRPr="0018279B">
        <w:rPr>
          <w:rFonts w:ascii="GHEA Grapalat" w:hAnsi="GHEA Grapalat"/>
          <w:sz w:val="24"/>
          <w:szCs w:val="24"/>
          <w:lang w:val="hy-AM"/>
        </w:rPr>
        <w:t>օգտագործման տրամադրելու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186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9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08-084-0050-0006 կադաստրային ծածկագրով հողամասի վրա քաղաքացի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թադև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ոս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րմենակի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արտիրոսյանի կողմից ինքնակամ կառուցված օրինական ճանաչված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մարագը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187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0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08-108-0040-0053 կադաստրային ծածկագրով հողամասի վրա քաղաքացի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ասմիկ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արգսյանի կողմից ինքնակամ կառուցված օրինական ճանաչված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ու դրանց պահպանման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սպասարկման համար նախատեսված հողամասը գնման նախապատվության իրավունքով ուղղակի վաճառքով կառուցապատողին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188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1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08-092-0095-0024 կադաստրային ծածկագրով հողամասի վրա քաղաքացի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ովհաննես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ղվանի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վդալյանի կողմից ինքնակամ կառուցված օրինական ճանաչված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շինությունները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</w:t>
      </w:r>
      <w:r w:rsidR="0018279B">
        <w:rPr>
          <w:rFonts w:ascii="GHEA Grapalat" w:hAnsi="GHEA Grapalat"/>
          <w:sz w:val="24"/>
          <w:szCs w:val="24"/>
          <w:lang w:val="hy-AM"/>
        </w:rPr>
        <w:t>189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2" w:history="1"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08-092-0095-0001 կադաստրային ծածկագրով հողամասի վրա քաղաքացի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արդ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աշիկի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ասպարյանի կողմից ինքնակամ կառուցված օրինական ճանաչված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արտադրական նշանակության շինությունները </w:t>
        </w:r>
        <w:r w:rsidR="0018279B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>( 190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3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08-053-0040-0003 կադաստրային ծածկագրով հողամասի վրա քաղաքացի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վետիքի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արկոսյանի կողմից ինքնակամ կառուցված օրինական ճանաչված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ու դրանց պահպանման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( 191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4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08-108-0083-0013 կադաստրային ծածկագրով հողամասի վրա քաղաքացի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Է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դվարդ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աչատուրի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արուքյանի կողմից ինքնակամ կառուցված օրինական ճանաչված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ու դրանց պահպանման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( 192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5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աղաքացի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րանուհի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աչագանի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արգսյանին սեփականության իրավունքով պատկանող 08-078-0021-0022 կադաստրային ծածկագրով արդյունաբերության ընդերքօգտագործման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այլ արտադրական նպատակային նշանակության գյուղատնտեսական արտադրական օբյեկտների գործառնական նշանակության հողամասի ընդլայնման համար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( 193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6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ովունի բնակավայրի տարածքում նոր առաջացող փողոցի անվանակոչման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( 194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7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րազգավորս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Բ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այանդուր բնակավայրերում նոր կառուցված համայնքային սեփականություն հանդիսացող գազատար խողովակաշարերն իրենց բաղկացուցիչ մասերով «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ազպրոմ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րմենիա» փակ բաժնետիրական ընկերությանը անհատույց անժամկետ տրամադրելու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2025 թվականի փետրվարի 12-ի թիվ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03Ա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որոշումն ուժը կորցրած ճանաչելու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( 195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4603D1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34</w:t>
      </w:r>
      <w:r w:rsidRPr="004603D1">
        <w:rPr>
          <w:rFonts w:ascii="Cambria Math" w:hAnsi="Cambria Math"/>
          <w:bCs/>
          <w:sz w:val="24"/>
          <w:szCs w:val="24"/>
          <w:shd w:val="clear" w:color="auto" w:fill="FFFFFF"/>
          <w:lang w:val="hy-AM"/>
        </w:rPr>
        <w:t xml:space="preserve">․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այաստանի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իրակի մարզի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խուրյան համայնքի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ամո բնակավայրի 1-ին փողոց 49 հասցեի 08-051-0033-0005 կադաստրային ծածկագրով հողամասում գտնվող քաղաքացի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րմեն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րթուրի </w:t>
      </w:r>
      <w:r w:rsid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ետրոսյանին ժառանգության իրավունքով փոխանցված բնակելի շինությունների զբաղեցրած օրինական </w:t>
      </w:r>
      <w:r w:rsidRPr="004603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 xml:space="preserve">հողամասին կից ավելի օգտագործվող 0,009539 հեկտար մակերեսով հողամասն ուղղակի վաճառքի միջոցով օտարելու մասին </w:t>
      </w:r>
      <w:r w:rsidR="004603D1">
        <w:rPr>
          <w:rFonts w:ascii="GHEA Grapalat" w:hAnsi="GHEA Grapalat"/>
          <w:sz w:val="24"/>
          <w:szCs w:val="24"/>
          <w:lang w:val="hy-AM"/>
        </w:rPr>
        <w:t>( 196</w:t>
      </w:r>
      <w:r w:rsidRPr="004603D1">
        <w:rPr>
          <w:rFonts w:ascii="GHEA Grapalat" w:hAnsi="GHEA Grapalat"/>
          <w:sz w:val="24"/>
          <w:szCs w:val="24"/>
          <w:lang w:val="hy-AM"/>
        </w:rPr>
        <w:t>-Ա )</w:t>
      </w:r>
    </w:p>
    <w:p w:rsidR="00F475C8" w:rsidRPr="004603D1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35</w:t>
      </w: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Ք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աղաքացի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կրտիչ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Պ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ետրոսի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Ս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իմոնյանին սեփականության իրավունքով պատկանող 08-007-0002-0050 կադաստրային ծածկագրով բնակավայրերի նպատակային նշանակության հասարակական կառուցապատման գործառնական նշանակության հողամասի ընդլայնման համար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Շ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իրակի մարզի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4603D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խուրյան համայնքի սեփականությունը համարվող հողամասն ուղղակի վաճառքի միջոցով օտարելու մասին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( 197</w:t>
      </w:r>
      <w:r w:rsidRPr="004603D1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08-007-0069-0007 կադաստրային ծածկագրով հողամասը գնման նախապատվության իրավունքով ուղղակի վաճառքով վարձակալ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մալյա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րիկետի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ահակյանին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( 198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բնակավայրի տարածքում գտնվող 08-007-0052-0069 կադաստրային ծածկագրով համայնքային սեփականության 0,08863 հեկտար մակերեսով հողամասը փոխանակության միջոցով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( 199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արմաշեն բնակավայրի տարածքում գտնվող 08-078-0135-0001 կադաստրային ծածկագրով համայնքային սեփականություն հանդիսացող հողամասից 0,496 հեկտար մակերեսով հատվածը փոխանակության միջոցով օտարելու մասին</w:t>
        </w:r>
      </w:hyperlink>
      <w:r w:rsidR="008553E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8553E4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200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8553E4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4603D1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1" w:history="1"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րջակա միջավայրի վրա ազդեցության գնահատման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փորձաքննության անցկացման նպատակով «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ենճանշին» սահմանափակ պատասխանատվությամբ ընկերության կողմից 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ացիկ բնակավայրի տարածքում գտնվող «</w:t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ացիկ-1» տեղամասում ընդերքօգտագործման հետ կապված գործունեությանը նախնական համաձայնություն տրամադրելու մասին</w:t>
        </w:r>
      </w:hyperlink>
      <w:r w:rsidR="004603D1">
        <w:rPr>
          <w:rFonts w:ascii="GHEA Grapalat" w:hAnsi="GHEA Grapalat"/>
          <w:sz w:val="24"/>
          <w:szCs w:val="24"/>
          <w:lang w:val="hy-AM"/>
        </w:rPr>
        <w:t xml:space="preserve"> ( 201</w:t>
      </w:r>
      <w:r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40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2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րջակա միջավայրի վրա ազդեցության գնահատման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փորձաքննության անցկացման նպատակով «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Դ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ուստր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ոնիկա» սահմանափակ պատասխանատվությամբ ընկերության կողմից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յումրու խճուղի 37 հասցեում գտնվող արդյունաբերական տարածքում ասֆալտի նոր գործարան տեղադրելու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շահագործելու հետ կապված գործունեությանը նախնական համաձայնություն տրամադրելու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( 202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3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ենիամին բնակավայրը ներառող միկրոռեգիոնալ մակարդակի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իրակ-4 համակցված տարածական պլանավորման 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փաստաթղթում 08-027-0001-0015 կադաստրային ծածկագրով 0.046287 հեկտար մակերեսով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08-027-0001-0016 կադաստրային ծածկագրով 0.10381 հեկտար մակերեսով հողամասերի նպատակային նշանակությունների փոփոխությունը հաստատելու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( 203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42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4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խուրիկ բնակավայրի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Ղ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արիբջանյան-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խուրիկ խճուղի 2/1 հասցեի 0.02054 հեկտար մակերեսով հողամասը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անրապետությանը նվիրելու մասին</w:t>
        </w:r>
      </w:hyperlink>
      <w:r w:rsidR="008553E4">
        <w:rPr>
          <w:rFonts w:ascii="GHEA Grapalat" w:hAnsi="GHEA Grapalat"/>
          <w:sz w:val="24"/>
          <w:szCs w:val="24"/>
          <w:lang w:val="hy-AM"/>
        </w:rPr>
        <w:t xml:space="preserve"> ( </w:t>
      </w:r>
      <w:r w:rsidR="003C774D">
        <w:rPr>
          <w:rFonts w:ascii="GHEA Grapalat" w:hAnsi="GHEA Grapalat"/>
          <w:sz w:val="24"/>
          <w:szCs w:val="24"/>
          <w:lang w:val="hy-AM"/>
        </w:rPr>
        <w:t>204</w:t>
      </w:r>
      <w:r w:rsidR="008553E4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43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5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ացիկ բնակավայրի 13-րդ փողոց 1-ին փակուղի 1 հասցեի 0.1144 հեկտար մակերեսով հողամասը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անրապետությանը նվիրելու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3C774D">
        <w:rPr>
          <w:rFonts w:ascii="GHEA Grapalat" w:hAnsi="GHEA Grapalat"/>
          <w:sz w:val="24"/>
          <w:szCs w:val="24"/>
          <w:lang w:val="hy-AM"/>
        </w:rPr>
        <w:t>205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44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6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բնակավայրի տարածքում գտնվող 08-108-0118-0006 կադաստրային ծածկագրով հողամասից 0,0375 հեկտար մակերեսով հատվածը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206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45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7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արմաշեն բնակավայրի տարածքում գտնվող 08-078-0024-0005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08-078-0024-0041 կադաստրային ծածկագրերով հողամասերի սամաններում նոր առաջացող 0,00963 հեկտար մակերեսով հողամասը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ճանաչելու վերաբերյալ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207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46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8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բնակավայրի տարածքում գտնվող 08-077-0029-0012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08-077-0029-0011 կադաստրային ծածկագրերով հողամասերի սամաններում նոր առաջացող 0,0152 հեկտար մակերեսով հողամասը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ճանաչելու վերաբերյալ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208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47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9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բնակավայրի տարածքում գտնվող 08-077-0029-0013 08-077-0029-0021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br/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08-077-0029-0011 կադաստրային ծածկագրերով հողամասերի սամաններում նոր առաջացող 0,02299 հեկտար մակերեսով հողամասը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ճանաչելու վերաբերյալ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209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0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ետք բնակավայրի 3-րդ փողոց թիվ 9/1 բնակելի տունը վարձակալ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ուսաննա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ովհաննեսի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աբոյանի ընտանիքի երկու անդամներին 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lastRenderedPageBreak/>
          <w:t xml:space="preserve">նվիրատվություն կատարելու շինությամբ զբաղեցված համայնքային սեփականություն հանդիսացող հողամասն ուղղակի վաճառքի միջոցով նվիրառուներին օտարելու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2024 թվականի նոյեմբերի 22-ի թիվ 270-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ու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2025 թվականի ապրիլի 15-ի թիվ 103-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որոշումներն անվավեր ճանաչելու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br/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210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1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իրակի մարզի ա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 բնակավայրի 8-րդ փողոց 2-րդ շենքի թիվ 29 բնակարանը վարձակալ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իդա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ուրենի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րիգորյանի ընտանիքի վեց անդամներին նվիրատվություն կատարելու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211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50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2" w:history="1"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 բնակավայրի 8-րդ փողոց 2-րդ շենքի թիվ 27 բնակարանը վարձակալ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արապետ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Ֆ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ելիքսի </w:t>
        </w:r>
        <w:r w:rsidR="003C774D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ակոբյանի ընտանիքի երեք անդամներին նվիրատվություն կատարելու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212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8E7D52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53" w:history="1">
        <w:r w:rsidR="008553E4" w:rsidRPr="008553E4">
          <w:rPr>
            <w:rFonts w:ascii="GHEA Grapalat" w:hAnsi="GHEA Grapalat"/>
            <w:sz w:val="24"/>
            <w:szCs w:val="24"/>
            <w:lang w:val="hy-AM"/>
          </w:rPr>
          <w:br/>
        </w:r>
        <w:r w:rsidR="004603D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51</w:t>
        </w:r>
        <w:r w:rsidR="008553E4">
          <w:rPr>
            <w:rStyle w:val="a3"/>
            <w:rFonts w:ascii="Cambria Math" w:hAnsi="Cambria Math"/>
            <w:color w:val="auto"/>
            <w:sz w:val="24"/>
            <w:szCs w:val="24"/>
            <w:u w:val="none"/>
            <w:lang w:val="hy-AM"/>
          </w:rPr>
          <w:t xml:space="preserve">․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տարածքով անցնող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-7-48 տեղական նշանակության ավտոմոբիլային ճանապարհի պետական ծրագրով իրականացվող հիմնանորոգման աշխատանքների կատարման համար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հանդիսացող հողամասից հողագրունտի հանույթի անվճար տրամադրելու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213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8553E4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52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4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բնակավայրերում գտնվող համայնքային սեփականություն համարվող տասնութ կտոր հողամասերն աճուրդ վաճառքի միջոցով օտարելու օտարման մեկնարկային գները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պայմանները հաստատելու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214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53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5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բնակավայրի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յումրու խճուղի 13/6 հասցեի բնակավայրերի նպատակային նշանակության 0,02491 հեկտար մակերեսով համայնքային սեփականության հողամասը մրցութային կարգով կառուցապատման իրավունքով օգտագործման տրամադրելու, մրցույթի պայմաններն ու վարձավճարի մեկնարկային չափը հաստատելու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215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54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6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2025 թվականի հունիսի 20-ի թիվ 151-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որոշման մեջ փոփոխություն կատարելու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216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55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7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ապրիլի 15-ի թիվ 98-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217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56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8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2025 թվականի հունիսի 20-ի թիվ 159-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որոշման մեջ փոփոխություն կատարելու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218</w:t>
      </w:r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p w:rsidR="008E7D52" w:rsidRPr="003C774D" w:rsidRDefault="004603D1" w:rsidP="008553E4">
      <w:pPr>
        <w:jc w:val="both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57</w:t>
      </w:r>
      <w:r w:rsidR="008553E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59" w:history="1"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ավագանու ութերորդ նստաշրջանի հերթական նիստի գումարման օրը </w:t>
        </w:r>
        <w:r w:rsidR="00001A0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8553E4" w:rsidRPr="008553E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ժամը սահմանելու մասին</w:t>
        </w:r>
      </w:hyperlink>
      <w:r w:rsidR="003C7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74D">
        <w:rPr>
          <w:rFonts w:ascii="GHEA Grapalat" w:hAnsi="GHEA Grapalat"/>
          <w:sz w:val="24"/>
          <w:szCs w:val="24"/>
          <w:lang w:val="hy-AM"/>
        </w:rPr>
        <w:t xml:space="preserve">( </w:t>
      </w:r>
      <w:r w:rsidR="00001A08">
        <w:rPr>
          <w:rFonts w:ascii="GHEA Grapalat" w:hAnsi="GHEA Grapalat"/>
          <w:sz w:val="24"/>
          <w:szCs w:val="24"/>
          <w:lang w:val="hy-AM"/>
        </w:rPr>
        <w:t>219</w:t>
      </w:r>
      <w:bookmarkStart w:id="0" w:name="_GoBack"/>
      <w:bookmarkEnd w:id="0"/>
      <w:r w:rsidR="003C774D">
        <w:rPr>
          <w:rFonts w:ascii="GHEA Grapalat" w:hAnsi="GHEA Grapalat"/>
          <w:sz w:val="24"/>
          <w:szCs w:val="24"/>
          <w:lang w:val="hy-AM"/>
        </w:rPr>
        <w:t>-Ա )</w:t>
      </w:r>
    </w:p>
    <w:sectPr w:rsidR="008E7D52" w:rsidRPr="003C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6"/>
    <w:rsid w:val="00001A08"/>
    <w:rsid w:val="0005021C"/>
    <w:rsid w:val="00062C03"/>
    <w:rsid w:val="000A59A4"/>
    <w:rsid w:val="0018279B"/>
    <w:rsid w:val="00264B44"/>
    <w:rsid w:val="002E64CE"/>
    <w:rsid w:val="00342938"/>
    <w:rsid w:val="003548AD"/>
    <w:rsid w:val="00381083"/>
    <w:rsid w:val="003B3FD6"/>
    <w:rsid w:val="003C774D"/>
    <w:rsid w:val="003E0196"/>
    <w:rsid w:val="004603D1"/>
    <w:rsid w:val="004B4FD7"/>
    <w:rsid w:val="0052102F"/>
    <w:rsid w:val="00546EF2"/>
    <w:rsid w:val="00584D32"/>
    <w:rsid w:val="006042B8"/>
    <w:rsid w:val="00645B01"/>
    <w:rsid w:val="00725EDA"/>
    <w:rsid w:val="0077257B"/>
    <w:rsid w:val="00785B5D"/>
    <w:rsid w:val="007A34BB"/>
    <w:rsid w:val="007D06DD"/>
    <w:rsid w:val="00820745"/>
    <w:rsid w:val="008553E4"/>
    <w:rsid w:val="00865847"/>
    <w:rsid w:val="008E7D52"/>
    <w:rsid w:val="00981DA7"/>
    <w:rsid w:val="00A31738"/>
    <w:rsid w:val="00A626A1"/>
    <w:rsid w:val="00AC59A1"/>
    <w:rsid w:val="00BB2508"/>
    <w:rsid w:val="00CB3B2C"/>
    <w:rsid w:val="00D31FEA"/>
    <w:rsid w:val="00DB3F18"/>
    <w:rsid w:val="00DB7E78"/>
    <w:rsid w:val="00DD102C"/>
    <w:rsid w:val="00ED663B"/>
    <w:rsid w:val="00F01D45"/>
    <w:rsid w:val="00F475C8"/>
    <w:rsid w:val="00F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0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0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huryan.am/Pages/DocFlow/Default.aspx?a=v&amp;g=733d7668-d585-4f20-9050-8373292e03d0" TargetMode="External"/><Relationship Id="rId18" Type="http://schemas.openxmlformats.org/officeDocument/2006/relationships/hyperlink" Target="https://akhuryan.am/Pages/DocFlow/Default.aspx?a=v&amp;g=bb6537a2-5a1b-4b01-8de0-f499131c8b6e" TargetMode="External"/><Relationship Id="rId26" Type="http://schemas.openxmlformats.org/officeDocument/2006/relationships/hyperlink" Target="https://akhuryan.am/Pages/DocFlow/Default.aspx?a=v&amp;g=1b4b07e2-6470-4cc2-9a86-448a1717d2e5" TargetMode="External"/><Relationship Id="rId39" Type="http://schemas.openxmlformats.org/officeDocument/2006/relationships/hyperlink" Target="https://akhuryan.am/Pages/DocFlow/Default.aspx?a=v&amp;g=cc82a9ff-24e1-4372-a9a1-e1b7f05c1972" TargetMode="External"/><Relationship Id="rId21" Type="http://schemas.openxmlformats.org/officeDocument/2006/relationships/hyperlink" Target="https://akhuryan.am/Pages/DocFlow/Default.aspx?a=v&amp;g=df4cbbc0-cd4e-468b-a91a-c15e72183109" TargetMode="External"/><Relationship Id="rId34" Type="http://schemas.openxmlformats.org/officeDocument/2006/relationships/hyperlink" Target="https://akhuryan.am/Pages/DocFlow/Default.aspx?a=v&amp;g=aa024352-5895-4ea6-a2df-e29d89bb5189" TargetMode="External"/><Relationship Id="rId42" Type="http://schemas.openxmlformats.org/officeDocument/2006/relationships/hyperlink" Target="https://akhuryan.am/Pages/DocFlow/Default.aspx?a=v&amp;g=89425614-5ae8-47c6-84ba-d4557e9c2720" TargetMode="External"/><Relationship Id="rId47" Type="http://schemas.openxmlformats.org/officeDocument/2006/relationships/hyperlink" Target="https://akhuryan.am/Pages/DocFlow/Default.aspx?a=v&amp;g=7ad64afe-f412-414e-9a28-b47512dfe698" TargetMode="External"/><Relationship Id="rId50" Type="http://schemas.openxmlformats.org/officeDocument/2006/relationships/hyperlink" Target="https://akhuryan.am/Pages/DocFlow/Default.aspx?a=v&amp;g=d3e035c0-c8fe-4dad-a387-0e0df4a5c054" TargetMode="External"/><Relationship Id="rId55" Type="http://schemas.openxmlformats.org/officeDocument/2006/relationships/hyperlink" Target="https://akhuryan.am/Pages/DocFlow/Default.aspx?a=v&amp;g=b463506d-84aa-4714-832d-f531e02fdde6" TargetMode="External"/><Relationship Id="rId7" Type="http://schemas.openxmlformats.org/officeDocument/2006/relationships/hyperlink" Target="https://akhuryan.am/Pages/DocFlow/Default.aspx?a=v&amp;g=ba5f4225-0888-474b-be05-c9f899bcacf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huryan.am/Pages/DocFlow/Default.aspx?a=v&amp;g=6c9a1928-15bb-433f-9188-8edf83bf5903" TargetMode="External"/><Relationship Id="rId20" Type="http://schemas.openxmlformats.org/officeDocument/2006/relationships/hyperlink" Target="https://akhuryan.am/Pages/DocFlow/Default.aspx?a=v&amp;g=c98f8653-bd9b-4f32-ab8c-01300abd2759" TargetMode="External"/><Relationship Id="rId29" Type="http://schemas.openxmlformats.org/officeDocument/2006/relationships/hyperlink" Target="https://akhuryan.am/Pages/DocFlow/Default.aspx?a=v&amp;g=f9647950-93a4-4546-b44b-c5c3d165f5dc" TargetMode="External"/><Relationship Id="rId41" Type="http://schemas.openxmlformats.org/officeDocument/2006/relationships/hyperlink" Target="https://akhuryan.am/Pages/DocFlow/Default.aspx?a=v&amp;g=d0883c81-e1bf-4275-ba99-8300519ea2cd" TargetMode="External"/><Relationship Id="rId54" Type="http://schemas.openxmlformats.org/officeDocument/2006/relationships/hyperlink" Target="https://akhuryan.am/Pages/DocFlow/Default.aspx?a=v&amp;g=b9be95a7-88e1-4c6e-a6c6-cdff1a6946a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khuryan.am/Pages/DocFlow/Default.aspx?a=v&amp;g=715c9966-a627-4a68-bf6a-10d4572923df" TargetMode="External"/><Relationship Id="rId11" Type="http://schemas.openxmlformats.org/officeDocument/2006/relationships/hyperlink" Target="https://akhuryan.am/Pages/DocFlow/Default.aspx?a=v&amp;g=81b9aa8e-8edc-446f-baf3-d43f12b16800" TargetMode="External"/><Relationship Id="rId24" Type="http://schemas.openxmlformats.org/officeDocument/2006/relationships/hyperlink" Target="https://akhuryan.am/Pages/DocFlow/Default.aspx?a=v&amp;g=a0151358-9381-499f-90ae-0cd0c0f99052" TargetMode="External"/><Relationship Id="rId32" Type="http://schemas.openxmlformats.org/officeDocument/2006/relationships/hyperlink" Target="https://akhuryan.am/Pages/DocFlow/Default.aspx?a=v&amp;g=b95e245e-5d15-4035-801f-337fdf52f718" TargetMode="External"/><Relationship Id="rId37" Type="http://schemas.openxmlformats.org/officeDocument/2006/relationships/hyperlink" Target="https://akhuryan.am/Pages/DocFlow/Default.aspx?a=v&amp;g=a2287147-f6ec-4ac3-a70f-85f86eb29fe0" TargetMode="External"/><Relationship Id="rId40" Type="http://schemas.openxmlformats.org/officeDocument/2006/relationships/hyperlink" Target="https://akhuryan.am/Pages/DocFlow/Default.aspx?a=v&amp;g=9869eabe-997a-4e38-a6d4-0dda7746ed28" TargetMode="External"/><Relationship Id="rId45" Type="http://schemas.openxmlformats.org/officeDocument/2006/relationships/hyperlink" Target="https://akhuryan.am/Pages/DocFlow/Default.aspx?a=v&amp;g=9735cf9e-a0c9-4211-b4cf-8866e71cc997" TargetMode="External"/><Relationship Id="rId53" Type="http://schemas.openxmlformats.org/officeDocument/2006/relationships/hyperlink" Target="https://akhuryan.am/Pages/DocFlow/Default.aspx?a=v&amp;g=bb05a759-81f5-41ad-81f1-3ba999cc4f9a" TargetMode="External"/><Relationship Id="rId58" Type="http://schemas.openxmlformats.org/officeDocument/2006/relationships/hyperlink" Target="https://akhuryan.am/Pages/DocFlow/Default.aspx?a=v&amp;g=8e70b4b5-3149-4678-b81a-4c94372c2f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huryan.am/Pages/DocFlow/Default.aspx?a=v&amp;g=257d1952-e803-4703-96c5-ab805de6b7dd" TargetMode="External"/><Relationship Id="rId23" Type="http://schemas.openxmlformats.org/officeDocument/2006/relationships/hyperlink" Target="https://akhuryan.am/Pages/DocFlow/Default.aspx?a=v&amp;g=4d540d8c-accf-48ea-a971-f22202d38b06" TargetMode="External"/><Relationship Id="rId28" Type="http://schemas.openxmlformats.org/officeDocument/2006/relationships/hyperlink" Target="https://akhuryan.am/Pages/DocFlow/Default.aspx?a=v&amp;g=53642387-fc65-46b8-818e-066001e4d2a2" TargetMode="External"/><Relationship Id="rId36" Type="http://schemas.openxmlformats.org/officeDocument/2006/relationships/hyperlink" Target="https://akhuryan.am/Pages/DocFlow/Default.aspx?a=v&amp;g=641b9a4d-7fa6-484c-b2f0-7251799c075c" TargetMode="External"/><Relationship Id="rId49" Type="http://schemas.openxmlformats.org/officeDocument/2006/relationships/hyperlink" Target="https://akhuryan.am/Pages/DocFlow/Default.aspx?a=v&amp;g=d0b931a9-e41d-4795-9a31-5c47316b61f5" TargetMode="External"/><Relationship Id="rId57" Type="http://schemas.openxmlformats.org/officeDocument/2006/relationships/hyperlink" Target="https://akhuryan.am/Pages/DocFlow/Default.aspx?a=v&amp;g=bb192e39-6fb5-4b8e-808b-1966c7d8bf3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akhuryan.am/Pages/DocFlow/Default.aspx?a=v&amp;g=c5507b59-f189-429b-864e-21dd89e9b7c7" TargetMode="External"/><Relationship Id="rId19" Type="http://schemas.openxmlformats.org/officeDocument/2006/relationships/hyperlink" Target="https://akhuryan.am/Pages/DocFlow/Default.aspx?a=v&amp;g=236f722d-689d-49ba-a88f-844efbbe0d4f" TargetMode="External"/><Relationship Id="rId31" Type="http://schemas.openxmlformats.org/officeDocument/2006/relationships/hyperlink" Target="https://akhuryan.am/Pages/DocFlow/Default.aspx?a=v&amp;g=7f1d3912-2512-4b2b-a921-8a6981b9d069" TargetMode="External"/><Relationship Id="rId44" Type="http://schemas.openxmlformats.org/officeDocument/2006/relationships/hyperlink" Target="https://akhuryan.am/Pages/DocFlow/Default.aspx?a=v&amp;g=3c34739e-7643-4750-9c7f-dd9dbfcfefb0" TargetMode="External"/><Relationship Id="rId52" Type="http://schemas.openxmlformats.org/officeDocument/2006/relationships/hyperlink" Target="https://akhuryan.am/Pages/DocFlow/Default.aspx?a=v&amp;g=bd3fabb9-bd52-471d-a3bd-aa0f8e65db7d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huryan.am/Pages/DocFlow/Default.aspx?a=v&amp;g=3cdd72d8-8234-4d11-b60c-8862bff6aa40" TargetMode="External"/><Relationship Id="rId14" Type="http://schemas.openxmlformats.org/officeDocument/2006/relationships/hyperlink" Target="https://akhuryan.am/Pages/DocFlow/Default.aspx?a=v&amp;g=1621c11d-12f1-49ff-8a08-7da278b3c287" TargetMode="External"/><Relationship Id="rId22" Type="http://schemas.openxmlformats.org/officeDocument/2006/relationships/hyperlink" Target="https://akhuryan.am/Pages/DocFlow/Default.aspx?a=v&amp;g=578237b5-82b3-4386-86c6-32b2556677f3" TargetMode="External"/><Relationship Id="rId27" Type="http://schemas.openxmlformats.org/officeDocument/2006/relationships/hyperlink" Target="https://akhuryan.am/Pages/DocFlow/Default.aspx?a=v&amp;g=88df5396-7371-49ec-ad11-e3fb0f979e49" TargetMode="External"/><Relationship Id="rId30" Type="http://schemas.openxmlformats.org/officeDocument/2006/relationships/hyperlink" Target="https://akhuryan.am/Pages/DocFlow/Default.aspx?a=v&amp;g=098013ef-5a6a-46ce-9d3c-eb05d65061c8" TargetMode="External"/><Relationship Id="rId35" Type="http://schemas.openxmlformats.org/officeDocument/2006/relationships/hyperlink" Target="https://akhuryan.am/Pages/DocFlow/Default.aspx?a=v&amp;g=d7fffd93-5afc-4510-9d80-5ad90d768b8b" TargetMode="External"/><Relationship Id="rId43" Type="http://schemas.openxmlformats.org/officeDocument/2006/relationships/hyperlink" Target="https://akhuryan.am/Pages/DocFlow/Default.aspx?a=v&amp;g=d6b04045-f8bd-484b-9407-5d0a05789510" TargetMode="External"/><Relationship Id="rId48" Type="http://schemas.openxmlformats.org/officeDocument/2006/relationships/hyperlink" Target="https://akhuryan.am/Pages/DocFlow/Default.aspx?a=v&amp;g=c1fcfcab-74f2-489f-b82d-6af14f230ead" TargetMode="External"/><Relationship Id="rId56" Type="http://schemas.openxmlformats.org/officeDocument/2006/relationships/hyperlink" Target="https://akhuryan.am/Pages/DocFlow/Default.aspx?a=v&amp;g=e8e66183-cceb-480a-91e1-7349de046993" TargetMode="External"/><Relationship Id="rId8" Type="http://schemas.openxmlformats.org/officeDocument/2006/relationships/hyperlink" Target="https://akhuryan.am/Pages/DocFlow/Default.aspx?a=v&amp;g=6a74170a-e8e6-4fec-8388-dfdd885c2093" TargetMode="External"/><Relationship Id="rId51" Type="http://schemas.openxmlformats.org/officeDocument/2006/relationships/hyperlink" Target="https://akhuryan.am/Pages/DocFlow/Default.aspx?a=v&amp;g=cbce7b35-8009-416b-9e64-2f1b17896d3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khuryan.am/Pages/DocFlow/Default.aspx?a=v&amp;g=e997234c-7360-4c14-96db-5ba1f37d8a2b" TargetMode="External"/><Relationship Id="rId17" Type="http://schemas.openxmlformats.org/officeDocument/2006/relationships/hyperlink" Target="https://akhuryan.am/Pages/DocFlow/Default.aspx?a=v&amp;g=17ac11df-691e-4b0e-941c-bad43db57222" TargetMode="External"/><Relationship Id="rId25" Type="http://schemas.openxmlformats.org/officeDocument/2006/relationships/hyperlink" Target="https://akhuryan.am/Pages/DocFlow/Default.aspx?a=v&amp;g=c7348c01-8842-4cd5-94a8-761e78f93c85" TargetMode="External"/><Relationship Id="rId33" Type="http://schemas.openxmlformats.org/officeDocument/2006/relationships/hyperlink" Target="https://akhuryan.am/Pages/DocFlow/Default.aspx?a=v&amp;g=90f3ab29-3865-4006-a944-45c9954c175f" TargetMode="External"/><Relationship Id="rId38" Type="http://schemas.openxmlformats.org/officeDocument/2006/relationships/hyperlink" Target="https://akhuryan.am/Pages/DocFlow/Default.aspx?a=v&amp;g=7fa9a144-62dd-41ef-85aa-5fc39060f095" TargetMode="External"/><Relationship Id="rId46" Type="http://schemas.openxmlformats.org/officeDocument/2006/relationships/hyperlink" Target="https://akhuryan.am/Pages/DocFlow/Default.aspx?a=v&amp;g=5203a2d0-d80c-4ffc-a100-6fdbad3751ce" TargetMode="External"/><Relationship Id="rId59" Type="http://schemas.openxmlformats.org/officeDocument/2006/relationships/hyperlink" Target="https://akhuryan.am/Pages/DocFlow/Default.aspx?a=v&amp;g=f249d8a2-2ce9-4396-acff-a38f88fc2c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69B8-4D75-46BA-8182-2AF1A85A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2025-09-10T05:56:00Z</cp:lastPrinted>
  <dcterms:created xsi:type="dcterms:W3CDTF">2025-09-03T10:54:00Z</dcterms:created>
  <dcterms:modified xsi:type="dcterms:W3CDTF">2025-09-12T08:59:00Z</dcterms:modified>
</cp:coreProperties>
</file>