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Հավելված N 1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Հայաստանի Հանրապետության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 xml:space="preserve"> Շիրակի մարզի Ախուրյան համայնքի 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proofErr w:type="gramStart"/>
      <w:r w:rsidRPr="00131C67">
        <w:rPr>
          <w:color w:val="000000" w:themeColor="text1"/>
        </w:rPr>
        <w:t>ավագանու</w:t>
      </w:r>
      <w:proofErr w:type="gramEnd"/>
      <w:r w:rsidRPr="00131C67">
        <w:rPr>
          <w:color w:val="000000" w:themeColor="text1"/>
        </w:rPr>
        <w:t xml:space="preserve"> 2023 թվականի</w:t>
      </w:r>
      <w:r w:rsidRPr="00131C67">
        <w:rPr>
          <w:color w:val="000000" w:themeColor="text1"/>
        </w:rPr>
        <w:softHyphen/>
      </w:r>
      <w:r w:rsidRPr="00131C67">
        <w:rPr>
          <w:color w:val="000000" w:themeColor="text1"/>
        </w:rPr>
        <w:softHyphen/>
        <w:t xml:space="preserve"> նոյեմբերի 22-ի 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proofErr w:type="gramStart"/>
      <w:r w:rsidRPr="00131C67">
        <w:rPr>
          <w:color w:val="000000" w:themeColor="text1"/>
        </w:rPr>
        <w:t>թիվ</w:t>
      </w:r>
      <w:proofErr w:type="gramEnd"/>
      <w:r w:rsidRPr="00131C67">
        <w:rPr>
          <w:color w:val="000000" w:themeColor="text1"/>
        </w:rPr>
        <w:t xml:space="preserve">    -Ն որոշման</w:t>
      </w:r>
    </w:p>
    <w:p w:rsidR="00D6387D" w:rsidRPr="00131C67" w:rsidRDefault="00D6387D" w:rsidP="00D6387D">
      <w:pPr>
        <w:rPr>
          <w:color w:val="000000" w:themeColor="text1"/>
        </w:rPr>
      </w:pPr>
    </w:p>
    <w:p w:rsidR="00D6387D" w:rsidRPr="00131C67" w:rsidRDefault="00D6387D" w:rsidP="00D6387D">
      <w:pPr>
        <w:rPr>
          <w:color w:val="000000" w:themeColor="text1"/>
        </w:rPr>
      </w:pPr>
    </w:p>
    <w:p w:rsidR="00D6387D" w:rsidRPr="00331F5E" w:rsidRDefault="00D6387D" w:rsidP="00D6387D">
      <w:pPr>
        <w:ind w:firstLine="277"/>
        <w:jc w:val="center"/>
        <w:rPr>
          <w:rFonts w:eastAsia="Times New Roman"/>
          <w:b/>
          <w:color w:val="000000" w:themeColor="text1"/>
        </w:rPr>
      </w:pPr>
      <w:r w:rsidRPr="00331F5E">
        <w:rPr>
          <w:rFonts w:eastAsia="Times New Roman"/>
          <w:b/>
          <w:color w:val="000000" w:themeColor="text1"/>
        </w:rPr>
        <w:t>Տեղական տուրքերի դրույքաչափեր</w:t>
      </w:r>
    </w:p>
    <w:p w:rsidR="003C2EA0" w:rsidRPr="00331F5E" w:rsidRDefault="003C2EA0" w:rsidP="00BA1131">
      <w:pPr>
        <w:rPr>
          <w:rFonts w:eastAsia="Times New Roman"/>
          <w:b/>
          <w:i/>
          <w:color w:val="000000" w:themeColor="text1"/>
          <w:lang w:val="ru-RU"/>
        </w:rPr>
      </w:pP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Հայաստանի Հանրապետության </w:t>
      </w:r>
      <w:r w:rsidRPr="00331F5E">
        <w:rPr>
          <w:rFonts w:eastAsia="Times New Roman"/>
          <w:color w:val="000000" w:themeColor="text1"/>
          <w:lang w:eastAsia="ru-RU"/>
        </w:rPr>
        <w:t>Շիրակի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մարզի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Ախուրյան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համայնքում </w:t>
      </w:r>
      <w:r w:rsidRPr="00331F5E">
        <w:rPr>
          <w:color w:val="000000" w:themeColor="text1"/>
          <w:lang w:val="ru-RU" w:eastAsia="ru-RU"/>
        </w:rPr>
        <w:t>(</w:t>
      </w:r>
      <w:r w:rsidRPr="00331F5E">
        <w:rPr>
          <w:color w:val="000000" w:themeColor="text1"/>
          <w:lang w:eastAsia="ru-RU"/>
        </w:rPr>
        <w:t>այսուհետ</w:t>
      </w:r>
      <w:r w:rsidRPr="00331F5E">
        <w:rPr>
          <w:color w:val="000000" w:themeColor="text1"/>
          <w:lang w:val="ru-RU" w:eastAsia="ru-RU"/>
        </w:rPr>
        <w:t xml:space="preserve">` համայնք) </w:t>
      </w:r>
      <w:r w:rsidRPr="00331F5E">
        <w:rPr>
          <w:rFonts w:eastAsia="Times New Roman"/>
          <w:color w:val="000000" w:themeColor="text1"/>
          <w:lang w:val="ru-RU" w:eastAsia="ru-RU"/>
        </w:rPr>
        <w:t>սահմանվում են տեղական տուրքերի հետևյալ դրույքաչափերը.</w:t>
      </w:r>
    </w:p>
    <w:p w:rsidR="003C2EA0" w:rsidRPr="00331F5E" w:rsidRDefault="000975DC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proofErr w:type="gramStart"/>
      <w:r w:rsidRPr="00331F5E">
        <w:rPr>
          <w:rFonts w:eastAsia="Times New Roman"/>
          <w:color w:val="000000" w:themeColor="text1"/>
          <w:lang w:eastAsia="ru-RU"/>
        </w:rPr>
        <w:t>1.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կարգով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հաստատված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ճարտարապետաշինարարական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նախագծին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նոր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և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ոչ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տեղադրման</w:t>
      </w:r>
      <w:r w:rsidR="003C2EA0" w:rsidRPr="00331F5E">
        <w:rPr>
          <w:rFonts w:eastAsia="Times New Roman"/>
          <w:color w:val="000000" w:themeColor="text1"/>
          <w:lang w:eastAsia="ru-RU"/>
        </w:rPr>
        <w:t>) (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չպահանջող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դեպքերի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3C2EA0" w:rsidRPr="00331F5E">
        <w:rPr>
          <w:rFonts w:eastAsia="Times New Roman"/>
          <w:color w:val="000000" w:themeColor="text1"/>
          <w:lang w:eastAsia="ru-RU"/>
        </w:rPr>
        <w:t>.</w:t>
      </w:r>
      <w:proofErr w:type="gramEnd"/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1) </w:t>
      </w:r>
      <w:proofErr w:type="gramStart"/>
      <w:r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gram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300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անհատական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բնակելի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այգեգործական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ամառանոցային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տների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ինչպես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հասարակական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արտադրական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տասնհինգ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2) </w:t>
      </w:r>
      <w:proofErr w:type="gramStart"/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proofErr w:type="gram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կետի</w:t>
      </w:r>
      <w:r w:rsidRPr="00331F5E">
        <w:rPr>
          <w:rFonts w:eastAsia="Times New Roman"/>
          <w:color w:val="000000" w:themeColor="text1"/>
          <w:lang w:eastAsia="ru-RU"/>
        </w:rPr>
        <w:t xml:space="preserve"> «1» </w:t>
      </w:r>
      <w:r w:rsidRPr="00331F5E">
        <w:rPr>
          <w:rFonts w:eastAsia="Times New Roman"/>
          <w:color w:val="000000" w:themeColor="text1"/>
          <w:lang w:val="ru-RU" w:eastAsia="ru-RU"/>
        </w:rPr>
        <w:t>ենթակետով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չնախատեսված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(այդ թվում՝ հասարակական և արտադրական նշանակության շենքերի և շինությունների)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ա. 200-ից 500 քառակուսի մետր ընդհանուր մակերես ունեցող շե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նքերի և շինությունների համար`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 xml:space="preserve"> հազար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բ. 501-ից 1000 քառակուսի մետր ընդհանուր մակերես ունեցող շե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նքերի և շինությունների համար` </w:t>
      </w:r>
      <w:r w:rsidR="000C7F88" w:rsidRPr="00331F5E">
        <w:rPr>
          <w:rFonts w:eastAsia="Times New Roman"/>
          <w:color w:val="000000" w:themeColor="text1"/>
          <w:lang w:eastAsia="ru-RU"/>
        </w:rPr>
        <w:t>100</w:t>
      </w:r>
      <w:r w:rsidRPr="00331F5E">
        <w:rPr>
          <w:rFonts w:eastAsia="Times New Roman"/>
          <w:color w:val="000000" w:themeColor="text1"/>
          <w:lang w:eastAsia="ru-RU"/>
        </w:rPr>
        <w:t xml:space="preserve"> հազար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գ. 1001-ից 3000 քառակուսի մետր ընդհանուր մակերես ունեցող շ</w:t>
      </w:r>
      <w:r w:rsidR="000C7F88" w:rsidRPr="00331F5E">
        <w:rPr>
          <w:rFonts w:eastAsia="Times New Roman"/>
          <w:color w:val="000000" w:themeColor="text1"/>
          <w:lang w:eastAsia="ru-RU"/>
        </w:rPr>
        <w:t>ենքերի և շինությունների համար՝ 2</w:t>
      </w:r>
      <w:r w:rsidRPr="00331F5E">
        <w:rPr>
          <w:rFonts w:eastAsia="Times New Roman"/>
          <w:color w:val="000000" w:themeColor="text1"/>
          <w:lang w:eastAsia="ru-RU"/>
        </w:rPr>
        <w:t>00 հազար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դ. 3001 և ավելի քառակուսի մետր ընդհանուր մակերես ունեցող շենքերի և շինությունների համար՝ </w:t>
      </w:r>
      <w:r w:rsidR="00E567BA" w:rsidRPr="00331F5E">
        <w:rPr>
          <w:rFonts w:eastAsia="Times New Roman"/>
          <w:color w:val="000000" w:themeColor="text1"/>
          <w:lang w:val="ru-RU" w:eastAsia="ru-RU"/>
        </w:rPr>
        <w:t>մեկ</w:t>
      </w:r>
      <w:r w:rsidR="00E567BA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E567BA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Pr="00331F5E">
        <w:rPr>
          <w:rFonts w:eastAsia="Times New Roman"/>
          <w:color w:val="000000" w:themeColor="text1"/>
          <w:lang w:eastAsia="ru-RU"/>
        </w:rPr>
        <w:t xml:space="preserve"> դրամի և 3000 քառակուսի մետրը գերազանցող մինչև յուրաքանչյուր 3000 քառակուսի մետրի համար </w:t>
      </w:r>
      <w:r w:rsidR="00F2384C" w:rsidRPr="00331F5E">
        <w:rPr>
          <w:rFonts w:eastAsia="Times New Roman"/>
          <w:color w:val="000000" w:themeColor="text1"/>
          <w:lang w:val="ru-RU" w:eastAsia="ru-RU"/>
        </w:rPr>
        <w:t>մեկ</w:t>
      </w:r>
      <w:r w:rsidR="00F2384C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2384C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Pr="00331F5E">
        <w:rPr>
          <w:rFonts w:eastAsia="Times New Roman"/>
          <w:color w:val="000000" w:themeColor="text1"/>
          <w:lang w:eastAsia="ru-RU"/>
        </w:rPr>
        <w:t xml:space="preserve"> դրամի հանրագումարի ու սույն կետով սահմանված՝ շենքի (շինության) կառուցման վայրի գոտիականությանը համապատասխանող գոտիականության գործակցի արտադրյալը: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կետի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համաձայն՝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հաշվարկման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նպատակով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հիմք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ընդունվում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որոշմամբ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տարածագնահատման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գտնվելու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վայրի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գոտիականությանը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համապատասխանող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գործակիցները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tbl>
      <w:tblPr>
        <w:tblpPr w:leftFromText="180" w:rightFromText="180" w:vertAnchor="text" w:horzAnchor="margin" w:tblpY="263"/>
        <w:tblW w:w="9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346"/>
        <w:gridCol w:w="3028"/>
      </w:tblGrid>
      <w:tr w:rsidR="00331F5E" w:rsidRPr="00331F5E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lastRenderedPageBreak/>
              <w:t>Գոտի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Բնակավայրը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Գոտիականության գործակից</w:t>
            </w:r>
          </w:p>
        </w:tc>
      </w:tr>
      <w:tr w:rsidR="00331F5E" w:rsidRPr="00331F5E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13-16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Ազատան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Շիրակ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Մայիսյան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Մարմաշեն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Ղարիբջանյան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Վահրամաբերդ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Հացիկ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2.0</w:t>
            </w:r>
          </w:p>
        </w:tc>
      </w:tr>
      <w:tr w:rsidR="00331F5E" w:rsidRPr="00331F5E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17-20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Երազգավորս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Առափի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Կամո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Բենիամին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Ախուրիկ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Ոսկեհասկ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Արևիկ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Բայանդուր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Կառնուտ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Այգաբաց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Քեթի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Կապս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Հայկավան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Բասեն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Գետք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Ջրառատ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Լեռնուտ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Կարմրաքար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Փոքրաշեն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Ջաջուռավան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Հովունի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Կրաշեն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Մեծ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Սարիար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Հովիտ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: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1.0</w:t>
            </w:r>
          </w:p>
        </w:tc>
      </w:tr>
    </w:tbl>
    <w:p w:rsidR="003C2EA0" w:rsidRPr="00331F5E" w:rsidRDefault="003C2EA0" w:rsidP="00331F5E">
      <w:pPr>
        <w:spacing w:after="200" w:line="276" w:lineRule="auto"/>
        <w:jc w:val="center"/>
        <w:rPr>
          <w:rFonts w:eastAsia="Times New Roman"/>
          <w:color w:val="000000" w:themeColor="text1"/>
          <w:lang w:val="ru-RU" w:eastAsia="ru-RU"/>
        </w:rPr>
      </w:pP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3)   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չնախատեսված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Կառավարության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ցանկում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ընդգրկված՝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սահմանամերձ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բնակավայրերի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տարածքում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կառուցվող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>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և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համար</w:t>
      </w:r>
      <w:r w:rsidR="006F77F2" w:rsidRPr="00331F5E">
        <w:rPr>
          <w:rFonts w:eastAsia="Times New Roman"/>
          <w:color w:val="000000" w:themeColor="text1"/>
          <w:lang w:val="ru-RU" w:eastAsia="ru-RU"/>
        </w:rPr>
        <w:t>` երեսուն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="00CA2839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331F5E">
        <w:rPr>
          <w:rFonts w:eastAsia="Times New Roman"/>
          <w:color w:val="000000" w:themeColor="text1"/>
          <w:lang w:val="ru-RU" w:eastAsia="ru-RU"/>
        </w:rPr>
        <w:t>. 1001-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802502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3B56D4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4) ոչ հիմնական շենքերի և շինությունների համար`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</w:t>
      </w:r>
      <w:proofErr w:type="gramStart"/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gramEnd"/>
      <w:r w:rsidRPr="00331F5E">
        <w:rPr>
          <w:rFonts w:eastAsia="Times New Roman"/>
          <w:color w:val="000000" w:themeColor="text1"/>
          <w:lang w:val="ru-RU" w:eastAsia="ru-RU"/>
        </w:rPr>
        <w:t xml:space="preserve"> 20 քառակուսի մետր ընդհանուր մակերես ունեցող շենքերի և շինությունների համար</w:t>
      </w:r>
      <w:r w:rsidR="00223B81"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հինգ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223B81"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դրամի և սույն կետի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ենթակետով սահմանված՝ շենքի (շինության) կառուցման վայրի գոտիականությանը համապատասխանող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20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="00B91009" w:rsidRPr="00331F5E">
        <w:rPr>
          <w:rFonts w:eastAsia="Times New Roman"/>
          <w:color w:val="000000" w:themeColor="text1"/>
          <w:lang w:val="ru-RU" w:eastAsia="ru-RU"/>
        </w:rPr>
        <w:t>` 10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2.</w:t>
      </w:r>
      <w:r w:rsidRPr="00331F5E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Հայաստանի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օրենսդրությամբ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կարգով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հաստատված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ճարտարապետաշինարարական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նախագծին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համայնքի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վարչական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տարածքում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նոր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եթե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4.1-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այլ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չէ</w:t>
      </w:r>
      <w:r w:rsidRPr="00331F5E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>՝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1) </w:t>
      </w:r>
      <w:r w:rsidRPr="00331F5E">
        <w:rPr>
          <w:rFonts w:eastAsia="Times New Roman"/>
          <w:color w:val="000000" w:themeColor="text1"/>
          <w:lang w:eastAsia="ru-RU"/>
        </w:rPr>
        <w:t>կառուցվող՝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300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0A72E4" w:rsidRPr="00331F5E">
        <w:rPr>
          <w:rFonts w:eastAsia="Times New Roman"/>
          <w:color w:val="000000" w:themeColor="text1"/>
          <w:lang w:eastAsia="ru-RU"/>
        </w:rPr>
        <w:t>երեսուն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կառուցվող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lastRenderedPageBreak/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2) </w:t>
      </w:r>
      <w:r w:rsidRPr="00331F5E">
        <w:rPr>
          <w:rFonts w:eastAsia="Times New Roman"/>
          <w:color w:val="000000" w:themeColor="text1"/>
          <w:lang w:eastAsia="ru-RU"/>
        </w:rPr>
        <w:t>այլ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հասարակական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նշանակության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</w:p>
    <w:p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="00153BDC" w:rsidRPr="00331F5E">
        <w:rPr>
          <w:rFonts w:eastAsia="Times New Roman"/>
          <w:color w:val="000000" w:themeColor="text1"/>
          <w:lang w:eastAsia="ru-RU"/>
        </w:rPr>
        <w:t>վաթսուն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200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գ. 1001-ից 3000 քառակուսի մետր ընդհանուր մակերես ունեցող շենքերի և շինությունների համար՝ 400 հազար դրամի և շենքի կամ շինության (անհատական բնակելի տան) կառուցման վայրի գոտիականությանը համապատասխանող՝ 1-ին կետի 2-րդ ենթակետով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դ. 3001 և ավելի քառակուսի մետր ընդհանուր մակերես ունեցող շենքերի և շինությունների համար՝ </w:t>
      </w:r>
      <w:r w:rsidR="0033311E" w:rsidRPr="00331F5E">
        <w:rPr>
          <w:rFonts w:eastAsia="Times New Roman"/>
          <w:color w:val="000000" w:themeColor="text1"/>
          <w:lang w:eastAsia="ru-RU"/>
        </w:rPr>
        <w:t>երկու</w:t>
      </w:r>
      <w:r w:rsidRPr="00331F5E">
        <w:rPr>
          <w:rFonts w:eastAsia="Times New Roman"/>
          <w:color w:val="000000" w:themeColor="text1"/>
          <w:lang w:eastAsia="ru-RU"/>
        </w:rPr>
        <w:t xml:space="preserve"> միլիոն դրամի և 3000 քառակուսի մետրը գերազանցող մինչև յուրաքանչյուր 3000 քառակուսի մետրի համար </w:t>
      </w:r>
      <w:r w:rsidR="00A327C9" w:rsidRPr="00331F5E">
        <w:rPr>
          <w:rFonts w:eastAsia="Times New Roman"/>
          <w:color w:val="000000" w:themeColor="text1"/>
          <w:lang w:eastAsia="ru-RU"/>
        </w:rPr>
        <w:t>երկու</w:t>
      </w:r>
      <w:r w:rsidRPr="00331F5E">
        <w:rPr>
          <w:rFonts w:eastAsia="Times New Roman"/>
          <w:color w:val="000000" w:themeColor="text1"/>
          <w:lang w:eastAsia="ru-RU"/>
        </w:rPr>
        <w:t xml:space="preserve"> միլիոն դրամի հանրագումարի ու 1-ին կետի 2-րդ ենթակետով սահմանված՝ շենքի կամ շինության (անհատական բնակելի տան) կառուցման վայրի գոտիականությանը համապատասխանող գոտիականության գործակցի արտադրյալը.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color w:val="000000" w:themeColor="text1"/>
          <w:shd w:val="clear" w:color="auto" w:fill="FFFFFF"/>
        </w:rPr>
      </w:pPr>
      <w:r w:rsidRPr="00331F5E">
        <w:rPr>
          <w:color w:val="000000" w:themeColor="text1"/>
          <w:shd w:val="clear" w:color="auto" w:fill="FFFFFF"/>
        </w:rPr>
        <w:t xml:space="preserve">3) </w:t>
      </w:r>
      <w:proofErr w:type="gramStart"/>
      <w:r w:rsidRPr="00331F5E">
        <w:rPr>
          <w:color w:val="000000" w:themeColor="text1"/>
          <w:shd w:val="clear" w:color="auto" w:fill="FFFFFF"/>
        </w:rPr>
        <w:t>համայնքի</w:t>
      </w:r>
      <w:proofErr w:type="gramEnd"/>
      <w:r w:rsidRPr="00331F5E">
        <w:rPr>
          <w:color w:val="000000" w:themeColor="text1"/>
          <w:shd w:val="clear" w:color="auto" w:fill="FFFFFF"/>
        </w:rPr>
        <w:t xml:space="preserve">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color w:val="000000" w:themeColor="text1"/>
          <w:shd w:val="clear" w:color="auto" w:fill="FFFFFF"/>
        </w:rPr>
        <w:t xml:space="preserve">ա. </w:t>
      </w:r>
      <w:proofErr w:type="gramStart"/>
      <w:r w:rsidRPr="00331F5E">
        <w:rPr>
          <w:color w:val="000000" w:themeColor="text1"/>
          <w:shd w:val="clear" w:color="auto" w:fill="FFFFFF"/>
        </w:rPr>
        <w:t>չի</w:t>
      </w:r>
      <w:proofErr w:type="gramEnd"/>
      <w:r w:rsidRPr="00331F5E">
        <w:rPr>
          <w:color w:val="000000" w:themeColor="text1"/>
          <w:shd w:val="clear" w:color="auto" w:fill="FFFFFF"/>
        </w:rPr>
        <w:t xml:space="preserve">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</w:t>
      </w:r>
      <w:r w:rsidR="00785819" w:rsidRPr="00331F5E">
        <w:rPr>
          <w:color w:val="000000" w:themeColor="text1"/>
          <w:shd w:val="clear" w:color="auto" w:fill="FFFFFF"/>
        </w:rPr>
        <w:t>երեք</w:t>
      </w:r>
      <w:r w:rsidRPr="00331F5E">
        <w:rPr>
          <w:color w:val="000000" w:themeColor="text1"/>
          <w:shd w:val="clear" w:color="auto" w:fill="FFFFFF"/>
        </w:rPr>
        <w:t xml:space="preserve"> հազար դրամ,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բ. բ</w:t>
      </w:r>
      <w:r w:rsidRPr="00331F5E">
        <w:rPr>
          <w:rFonts w:eastAsia="Times New Roman"/>
          <w:color w:val="000000" w:themeColor="text1"/>
          <w:lang w:val="ru-RU" w:eastAsia="ru-RU"/>
        </w:rPr>
        <w:t>ացի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վերակառուցման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ուժեղացման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վերականգնման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արդիականացման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աշխատանքներից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տրամաչափային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հետևանքով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ավելացում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բացի</w:t>
      </w:r>
      <w:r w:rsidRPr="00331F5E">
        <w:rPr>
          <w:rFonts w:eastAsia="Times New Roman"/>
          <w:color w:val="000000" w:themeColor="text1"/>
          <w:lang w:eastAsia="ru-RU"/>
        </w:rPr>
        <w:t xml:space="preserve"> սույն ենթակետի «ա.» պարբերությամբ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դրույքաչափից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 1-</w:t>
      </w:r>
      <w:r w:rsidRPr="00331F5E">
        <w:rPr>
          <w:rFonts w:eastAsia="Times New Roman"/>
          <w:color w:val="000000" w:themeColor="text1"/>
          <w:lang w:val="ru-RU" w:eastAsia="ru-RU"/>
        </w:rPr>
        <w:t>ին</w:t>
      </w:r>
      <w:r w:rsidRPr="00331F5E">
        <w:rPr>
          <w:rFonts w:eastAsia="Times New Roman"/>
          <w:color w:val="000000" w:themeColor="text1"/>
          <w:lang w:eastAsia="ru-RU"/>
        </w:rPr>
        <w:t xml:space="preserve"> կետ</w:t>
      </w:r>
      <w:r w:rsidRPr="00331F5E">
        <w:rPr>
          <w:rFonts w:eastAsia="Times New Roman"/>
          <w:color w:val="000000" w:themeColor="text1"/>
          <w:lang w:val="ru-RU" w:eastAsia="ru-RU"/>
        </w:rPr>
        <w:t>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ավելացման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մասով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գ. </w:t>
      </w:r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միայն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գաբարիտային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ապա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lastRenderedPageBreak/>
        <w:t xml:space="preserve">«Տեղական տուրքերի և վճարների մասին» Հայաստանի Հանրապետության </w:t>
      </w:r>
      <w:r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որի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նկատմամբ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color w:val="000000" w:themeColor="text1"/>
          <w:lang w:eastAsia="ru-RU"/>
        </w:rPr>
        <w:t>1-</w:t>
      </w:r>
      <w:r w:rsidRPr="00331F5E">
        <w:rPr>
          <w:color w:val="000000" w:themeColor="text1"/>
          <w:lang w:val="ru-RU" w:eastAsia="ru-RU"/>
        </w:rPr>
        <w:t>ին</w:t>
      </w:r>
      <w:r w:rsidRPr="00331F5E">
        <w:rPr>
          <w:color w:val="000000" w:themeColor="text1"/>
          <w:lang w:eastAsia="ru-RU"/>
        </w:rPr>
        <w:t xml:space="preserve"> </w:t>
      </w:r>
      <w:r w:rsidRPr="00331F5E">
        <w:rPr>
          <w:color w:val="000000" w:themeColor="text1"/>
          <w:lang w:val="ru-RU" w:eastAsia="ru-RU"/>
        </w:rPr>
        <w:t>կետով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 3. Հ</w:t>
      </w:r>
      <w:r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քաղաքաշինական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չպահանջվող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դեպքերի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 հինգ</w:t>
      </w:r>
      <w:r w:rsidR="007B0496" w:rsidRPr="00331F5E">
        <w:rPr>
          <w:rFonts w:eastAsia="Times New Roman"/>
          <w:color w:val="000000" w:themeColor="text1"/>
          <w:lang w:eastAsia="ru-RU"/>
        </w:rPr>
        <w:t xml:space="preserve"> 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4.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2-րդ </w:t>
      </w:r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տեղական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տուրքի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դրույքաչափը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հաշվարկվում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է</w:t>
      </w:r>
      <w:r w:rsidRPr="00331F5E">
        <w:rPr>
          <w:rFonts w:eastAsia="Times New Roman"/>
          <w:color w:val="000000" w:themeColor="text1"/>
          <w:lang w:eastAsia="ru-RU"/>
        </w:rPr>
        <w:t xml:space="preserve"> 0</w:t>
      </w:r>
      <w:r w:rsidRPr="00331F5E">
        <w:rPr>
          <w:rFonts w:ascii="MS Mincho" w:eastAsia="MS Mincho" w:hAnsi="MS Mincho" w:cs="MS Mincho"/>
          <w:color w:val="000000" w:themeColor="text1"/>
          <w:lang w:eastAsia="ru-RU"/>
        </w:rPr>
        <w:t>,</w:t>
      </w:r>
      <w:r w:rsidRPr="00331F5E">
        <w:rPr>
          <w:rFonts w:eastAsia="Times New Roman"/>
          <w:color w:val="000000" w:themeColor="text1"/>
          <w:lang w:eastAsia="ru-RU"/>
        </w:rPr>
        <w:t xml:space="preserve">5 </w:t>
      </w:r>
      <w:r w:rsidRPr="00331F5E">
        <w:rPr>
          <w:rFonts w:eastAsia="Times New Roman" w:cs="GHEA Grapalat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կիրառմամբ։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հաջորդ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երկարաձգումների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դեպքում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 w:cs="GHEA Grapalat"/>
          <w:color w:val="000000" w:themeColor="text1"/>
          <w:lang w:eastAsia="ru-RU"/>
        </w:rPr>
        <w:t>անկախ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երկարաձգվող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ժամկետ</w:t>
      </w:r>
      <w:r w:rsidRPr="00331F5E">
        <w:rPr>
          <w:rFonts w:eastAsia="Times New Roman"/>
          <w:color w:val="000000" w:themeColor="text1"/>
          <w:lang w:eastAsia="ru-RU"/>
        </w:rPr>
        <w:t xml:space="preserve">ների տևողությունից) շինարարության թույլտվության երկարաձգման համար տեղական տուրքը հաշվարկվում է 2-րդ </w:t>
      </w:r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դրույքաչափերով</w:t>
      </w:r>
      <w:r w:rsidRPr="00331F5E">
        <w:rPr>
          <w:rFonts w:eastAsia="Times New Roman"/>
          <w:color w:val="000000" w:themeColor="text1"/>
          <w:lang w:eastAsia="ru-RU"/>
        </w:rPr>
        <w:t>։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5.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</w:t>
      </w:r>
      <w:bookmarkStart w:id="0" w:name="_GoBack"/>
      <w:r w:rsidR="00D6387D" w:rsidRPr="00331F5E">
        <w:rPr>
          <w:rFonts w:eastAsia="Times New Roman"/>
          <w:color w:val="000000" w:themeColor="text1"/>
          <w:lang w:val="ru-RU" w:eastAsia="ru-RU"/>
        </w:rPr>
        <w:t>ն</w:t>
      </w:r>
      <w:bookmarkEnd w:id="0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համար՝ օրացուցային տարվա համար՝ երկու հարյուր հազար դրամ.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6.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7.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8.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9.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proofErr w:type="gramStart"/>
      <w:r w:rsidRPr="00331F5E">
        <w:rPr>
          <w:rFonts w:eastAsia="Times New Roman"/>
          <w:color w:val="000000" w:themeColor="text1"/>
          <w:lang w:eastAsia="ru-RU"/>
        </w:rPr>
        <w:t>10.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  <w:proofErr w:type="gramEnd"/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11.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lastRenderedPageBreak/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վաթսուն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12.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քսան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13.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թանկարժեք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մետաղներից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պատրաստված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որոշակի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14.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խմիչքների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>`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խմիչքի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ա.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հինգ հազար դրամ,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բ. </w:t>
      </w:r>
      <w:r w:rsidR="00D6387D" w:rsidRPr="00331F5E">
        <w:rPr>
          <w:rFonts w:eastAsia="Times New Roman"/>
          <w:color w:val="000000" w:themeColor="text1"/>
          <w:lang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տասնմեկ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դ. </w:t>
      </w:r>
      <w:r w:rsidR="00D6387D" w:rsidRPr="00331F5E">
        <w:rPr>
          <w:rFonts w:eastAsia="Times New Roman"/>
          <w:color w:val="000000" w:themeColor="text1"/>
          <w:lang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տասնչորս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ե. </w:t>
      </w:r>
      <w:r w:rsidR="00D6387D" w:rsidRPr="00331F5E">
        <w:rPr>
          <w:rFonts w:eastAsia="Times New Roman"/>
          <w:color w:val="000000" w:themeColor="text1"/>
          <w:lang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քսանմեկ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զ. </w:t>
      </w:r>
      <w:r w:rsidR="00D6387D" w:rsidRPr="00331F5E">
        <w:rPr>
          <w:rFonts w:eastAsia="Times New Roman"/>
          <w:color w:val="000000" w:themeColor="text1"/>
          <w:lang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քսանվեց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է. 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յոթանասուն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2)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>`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331F5E">
        <w:rPr>
          <w:rFonts w:eastAsia="Times New Roman"/>
          <w:color w:val="000000" w:themeColor="text1"/>
          <w:lang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հինգ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lastRenderedPageBreak/>
        <w:t>բ</w:t>
      </w:r>
      <w:r w:rsidRPr="00331F5E">
        <w:rPr>
          <w:rFonts w:eastAsia="Times New Roman"/>
          <w:color w:val="000000" w:themeColor="text1"/>
          <w:lang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տասնմեկ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331F5E">
        <w:rPr>
          <w:rFonts w:eastAsia="Times New Roman"/>
          <w:color w:val="000000" w:themeColor="text1"/>
          <w:lang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տասնչորս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դ</w:t>
      </w:r>
      <w:r w:rsidRPr="00331F5E">
        <w:rPr>
          <w:rFonts w:eastAsia="Times New Roman"/>
          <w:color w:val="000000" w:themeColor="text1"/>
          <w:lang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քսանմեկ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ե</w:t>
      </w:r>
      <w:r w:rsidRPr="00331F5E">
        <w:rPr>
          <w:rFonts w:eastAsia="Times New Roman"/>
          <w:color w:val="000000" w:themeColor="text1"/>
          <w:lang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 քսանվեց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զ</w:t>
      </w:r>
      <w:r w:rsidRPr="00331F5E">
        <w:rPr>
          <w:rFonts w:eastAsia="Times New Roman"/>
          <w:color w:val="000000" w:themeColor="text1"/>
          <w:lang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քառասունվեց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15.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իրավաբանական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անձանց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անհատ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ձեռնարկատերերին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«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մասին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»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բացօթյա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16.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խաղատներին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ժամը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24.00-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հետո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աշխատելու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քսանհինգ հազար 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AE4A57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     </w:t>
      </w:r>
      <w:r w:rsidR="00AE4A57"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 հիսուն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քսան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AE4A57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F6B15" w:rsidRPr="00331F5E">
        <w:rPr>
          <w:rFonts w:eastAsia="Times New Roman"/>
          <w:color w:val="000000" w:themeColor="text1"/>
          <w:lang w:eastAsia="ru-RU"/>
        </w:rPr>
        <w:t xml:space="preserve">    </w:t>
      </w:r>
      <w:r w:rsidRPr="00331F5E">
        <w:rPr>
          <w:rFonts w:eastAsia="Times New Roman"/>
          <w:color w:val="000000" w:themeColor="text1"/>
          <w:lang w:eastAsia="ru-RU"/>
        </w:rPr>
        <w:t xml:space="preserve">4) 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խաղատների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ութ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5)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6)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17.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ավագանու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որոշմամբ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կանոններին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proofErr w:type="gramStart"/>
      <w:r w:rsidR="00D6387D" w:rsidRPr="00331F5E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առանձնացված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է՝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ներսում՝</w:t>
      </w:r>
    </w:p>
    <w:p w:rsidR="00D6387D" w:rsidRPr="00331F5E" w:rsidRDefault="009B39E0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331F5E">
        <w:rPr>
          <w:rFonts w:eastAsia="Times New Roman"/>
          <w:color w:val="000000" w:themeColor="text1"/>
          <w:lang w:eastAsia="ru-RU"/>
        </w:rPr>
        <w:t>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վեց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 տասնմեկ հազար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դ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տասնվեց</w:t>
      </w:r>
      <w:r w:rsidRPr="00331F5E">
        <w:rPr>
          <w:rFonts w:eastAsia="Times New Roman" w:cs="Arial Unicode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lastRenderedPageBreak/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ե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r w:rsidRPr="00331F5E">
        <w:rPr>
          <w:rFonts w:eastAsia="Times New Roman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քսան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զ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9B39E0" w:rsidRPr="00331F5E">
        <w:rPr>
          <w:rFonts w:eastAsia="Times New Roman" w:cs="Calibri"/>
          <w:color w:val="000000" w:themeColor="text1"/>
          <w:lang w:eastAsia="ru-RU"/>
        </w:rPr>
        <w:t>2)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331F5E">
        <w:rPr>
          <w:rFonts w:eastAsia="Times New Roman" w:cs="Arial Unicode"/>
          <w:color w:val="000000" w:themeColor="text1"/>
          <w:lang w:val="ru-RU" w:eastAsia="ru-RU"/>
        </w:rPr>
        <w:t>ոչ</w:t>
      </w:r>
      <w:proofErr w:type="gram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հիմնական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ներսում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ա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26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հինգ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հարյուր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բ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26-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հինգ հարյուր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գ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100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երկու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eastAsia="ru-RU"/>
        </w:rPr>
        <w:t>հինգ հարյուր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դ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</w:t>
      </w:r>
      <w:r w:rsidRPr="00331F5E">
        <w:rPr>
          <w:rFonts w:eastAsia="Times New Roman"/>
          <w:color w:val="000000" w:themeColor="text1"/>
          <w:lang w:val="ru-RU" w:eastAsia="ru-RU"/>
        </w:rPr>
        <w:t>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հինգ հազար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ե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eastAsia="ru-RU"/>
        </w:rPr>
        <w:t>ինը 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զ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ավելի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</w:t>
      </w:r>
      <w:r w:rsidRPr="00331F5E">
        <w:rPr>
          <w:rFonts w:eastAsia="Times New Roman"/>
          <w:color w:val="000000" w:themeColor="text1"/>
          <w:lang w:val="ru-RU" w:eastAsia="ru-RU"/>
        </w:rPr>
        <w:t>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տասնվեց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18.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ավագանու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կարգին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պայմաններին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սահմաններից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դուրս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պետական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ավտոմոբիլային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ճանապարհների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օտարման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շերտերում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պաշտպանական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գոտիներում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ամիս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թունդ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սոցիալական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զրո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5)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դատարկ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վահանակների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25 %-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6)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եթե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գովազդակիրը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տեղաբաշխել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գովազդը՝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19.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խորհրդանիշները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զինանշանը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անվանումը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որպես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գրանցված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ապրանքային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ապրանքների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աշխատանքների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կատարման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գործընթացներում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ինչպես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ֆիրմային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անվանումներում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օգտագործելու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տրամադրելու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20.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մարդատար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տաքսու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երթուղային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տաքսիների՝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միկրոավտոբուսների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մեքենայի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lastRenderedPageBreak/>
        <w:t>21.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քաղաքացիական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հոգեհանգստի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հրաժեշտի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ծիսակատարության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3E263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22.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մասնավոր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շահագործման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յոթ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23.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հատուկ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հրավառություն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՝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24.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ենթակա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կարաոկեի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դիսկոտեկի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սաունայի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շոգեբաղնիքի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հեստապարային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ակումբի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ՀՀ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</w:p>
    <w:p w:rsidR="00D6387D" w:rsidRPr="00331F5E" w:rsidRDefault="00BE2FEF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25.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gram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անձանց՝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տվյալ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հարակից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օգտագործման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ամառային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մայիսի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հոկտեմբերի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ձմեռային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նոյեմբերի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ապրիլի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սեզոններին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: 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EB7028" w:rsidRPr="00331F5E" w:rsidRDefault="00EB7028" w:rsidP="00D6387D">
      <w:pPr>
        <w:rPr>
          <w:color w:val="000000" w:themeColor="text1"/>
        </w:rPr>
      </w:pPr>
    </w:p>
    <w:sectPr w:rsidR="00EB7028" w:rsidRPr="00331F5E" w:rsidSect="00D63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3DB"/>
    <w:multiLevelType w:val="hybridMultilevel"/>
    <w:tmpl w:val="C67AC700"/>
    <w:lvl w:ilvl="0" w:tplc="96C21EA4">
      <w:start w:val="20"/>
      <w:numFmt w:val="decimal"/>
      <w:lvlText w:val="%1."/>
      <w:lvlJc w:val="left"/>
      <w:pPr>
        <w:ind w:left="7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8D40507"/>
    <w:multiLevelType w:val="hybridMultilevel"/>
    <w:tmpl w:val="D01C7C48"/>
    <w:lvl w:ilvl="0" w:tplc="A5B6C8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B3B35DA"/>
    <w:multiLevelType w:val="hybridMultilevel"/>
    <w:tmpl w:val="7B025FB8"/>
    <w:lvl w:ilvl="0" w:tplc="BF940F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F4262"/>
    <w:multiLevelType w:val="hybridMultilevel"/>
    <w:tmpl w:val="0904556E"/>
    <w:lvl w:ilvl="0" w:tplc="C9986480">
      <w:start w:val="20"/>
      <w:numFmt w:val="decimal"/>
      <w:lvlText w:val="%1.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8625875"/>
    <w:multiLevelType w:val="hybridMultilevel"/>
    <w:tmpl w:val="AE78D1D0"/>
    <w:lvl w:ilvl="0" w:tplc="0486F2FC">
      <w:start w:val="1"/>
      <w:numFmt w:val="decimal"/>
      <w:lvlText w:val="%1)"/>
      <w:lvlJc w:val="left"/>
      <w:pPr>
        <w:ind w:left="63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87471F0"/>
    <w:multiLevelType w:val="hybridMultilevel"/>
    <w:tmpl w:val="CDBA06C8"/>
    <w:lvl w:ilvl="0" w:tplc="E6641B3A">
      <w:start w:val="19"/>
      <w:numFmt w:val="decimal"/>
      <w:lvlText w:val="%1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40"/>
    <w:rsid w:val="000975DC"/>
    <w:rsid w:val="000A72E4"/>
    <w:rsid w:val="000B1FD5"/>
    <w:rsid w:val="000C7F88"/>
    <w:rsid w:val="00131C67"/>
    <w:rsid w:val="00153BDC"/>
    <w:rsid w:val="00223B81"/>
    <w:rsid w:val="002A4F29"/>
    <w:rsid w:val="002F7A40"/>
    <w:rsid w:val="00331F5E"/>
    <w:rsid w:val="0033311E"/>
    <w:rsid w:val="003B56D4"/>
    <w:rsid w:val="003C2EA0"/>
    <w:rsid w:val="003E2637"/>
    <w:rsid w:val="00523054"/>
    <w:rsid w:val="0055361E"/>
    <w:rsid w:val="0058295E"/>
    <w:rsid w:val="006F77F2"/>
    <w:rsid w:val="00785819"/>
    <w:rsid w:val="007B0496"/>
    <w:rsid w:val="00802502"/>
    <w:rsid w:val="008F6B15"/>
    <w:rsid w:val="009B39E0"/>
    <w:rsid w:val="00A327C9"/>
    <w:rsid w:val="00AE4A57"/>
    <w:rsid w:val="00B91009"/>
    <w:rsid w:val="00BA1131"/>
    <w:rsid w:val="00BE2FEF"/>
    <w:rsid w:val="00C8249F"/>
    <w:rsid w:val="00CA2839"/>
    <w:rsid w:val="00CF7E56"/>
    <w:rsid w:val="00D6387D"/>
    <w:rsid w:val="00D7540D"/>
    <w:rsid w:val="00E567BA"/>
    <w:rsid w:val="00E927E8"/>
    <w:rsid w:val="00EB7028"/>
    <w:rsid w:val="00EF54A1"/>
    <w:rsid w:val="00F2384C"/>
    <w:rsid w:val="00F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D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D6387D"/>
    <w:rPr>
      <w:b/>
      <w:bCs/>
    </w:rPr>
  </w:style>
  <w:style w:type="paragraph" w:styleId="a5">
    <w:name w:val="List Paragraph"/>
    <w:basedOn w:val="a"/>
    <w:uiPriority w:val="34"/>
    <w:qFormat/>
    <w:rsid w:val="00D638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7D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D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D6387D"/>
    <w:rPr>
      <w:b/>
      <w:bCs/>
    </w:rPr>
  </w:style>
  <w:style w:type="paragraph" w:styleId="a5">
    <w:name w:val="List Paragraph"/>
    <w:basedOn w:val="a"/>
    <w:uiPriority w:val="34"/>
    <w:qFormat/>
    <w:rsid w:val="00D638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7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3A4F-3EE8-480B-95D0-29E3D6D7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2023-11-09T10:37:00Z</dcterms:created>
  <dcterms:modified xsi:type="dcterms:W3CDTF">2023-11-10T06:54:00Z</dcterms:modified>
</cp:coreProperties>
</file>